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2190334</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וארבע</w:t>
      </w:r>
      <w:bookmarkEnd w:id="1"/>
    </w:p>
    <w:p w14:paraId="7F6961A3" w14:textId="77777777" w:rsidR="00E13C27" w:rsidRPr="00F67051" w:rsidRDefault="00E13C27" w:rsidP="00E13C27">
      <w:pPr>
        <w:rPr>
          <w:rFonts w:cs="David"/>
          <w:b/>
          <w:bCs/>
          <w:sz w:val="26"/>
          <w:szCs w:val="26"/>
          <w:rtl/>
        </w:rPr>
      </w:pPr>
    </w:p>
    <w:p w14:paraId="7F6961A6" w14:textId="77777777" w:rsidR="00E13C27" w:rsidRDefault="008F6665" w:rsidP="00930EFE">
      <w:pPr>
        <w:pStyle w:val="David"/>
        <w:spacing w:line="360" w:lineRule="auto"/>
        <w:ind w:left="3544"/>
        <w:rPr>
          <w:b/>
          <w:bCs/>
          <w:rtl/>
        </w:rPr>
      </w:pPr>
      <w:bookmarkStart w:id="2" w:name="LGS_Initiators_List"/>
      <w:r>
        <w:rPr>
          <w:b/>
          <w:bCs/>
          <w:rtl/>
        </w:rPr>
        <w:t>יוזמים:      חברי הכנסת</w:t>
      </w:r>
      <w:bookmarkEnd w:id="2"/>
      <w:r w:rsidR="00B35784" w:rsidRPr="00F67051">
        <w:rPr>
          <w:b/>
          <w:bCs/>
        </w:rPr>
        <w:tab/>
      </w:r>
      <w:bookmarkStart w:id="3" w:name="LGS_PM_Names"/>
      <w:r>
        <w:rPr>
          <w:rFonts w:hint="cs"/>
          <w:b/>
          <w:bCs/>
          <w:rtl/>
        </w:rPr>
        <w:t>אורי מקלב</w:t>
      </w:r>
      <w:r>
        <w:br/>
      </w:r>
      <w:r>
        <w:rPr>
          <w:rFonts w:hint="cs"/>
          <w:b/>
          <w:bCs/>
          <w:rtl/>
        </w:rPr>
        <w:t xml:space="preserve"> </w:t>
      </w:r>
      <w:r>
        <w:tab/>
      </w:r>
      <w:r>
        <w:tab/>
      </w:r>
      <w:r>
        <w:tab/>
      </w:r>
      <w:r>
        <w:tab/>
      </w:r>
      <w:r>
        <w:rPr>
          <w:rFonts w:hint="cs"/>
          <w:b/>
          <w:bCs/>
          <w:rtl/>
        </w:rPr>
        <w:t>משה גפני</w:t>
      </w:r>
      <w:r>
        <w:br/>
      </w:r>
      <w:r>
        <w:rPr>
          <w:rFonts w:hint="cs"/>
          <w:b/>
          <w:bCs/>
          <w:rtl/>
        </w:rPr>
        <w:t xml:space="preserve"> </w:t>
      </w:r>
      <w:r>
        <w:tab/>
      </w:r>
      <w:r>
        <w:tab/>
      </w:r>
      <w:r>
        <w:tab/>
      </w:r>
      <w:r>
        <w:tab/>
      </w:r>
      <w:r>
        <w:rPr>
          <w:rFonts w:hint="cs"/>
          <w:b/>
          <w:bCs/>
          <w:rtl/>
        </w:rPr>
        <w:t>יעקב אשר</w:t>
      </w:r>
      <w:r>
        <w:br/>
      </w:r>
      <w:r>
        <w:rPr>
          <w:rFonts w:hint="cs"/>
          <w:b/>
          <w:bCs/>
          <w:rtl/>
        </w:rPr>
        <w:t xml:space="preserve"> </w:t>
      </w:r>
      <w:r>
        <w:tab/>
      </w:r>
      <w:r>
        <w:tab/>
      </w:r>
      <w:r>
        <w:tab/>
      </w:r>
      <w:r>
        <w:tab/>
      </w:r>
      <w:r>
        <w:rPr>
          <w:rFonts w:hint="cs"/>
          <w:b/>
          <w:bCs/>
          <w:rtl/>
        </w:rPr>
        <w:t>יצחק פינדרוס</w:t>
      </w:r>
      <w:bookmarkEnd w:id="3"/>
    </w:p>
    <w:p w14:paraId="7F6961AA" w14:textId="39F9D96B" w:rsidR="00E13C27" w:rsidRPr="00CF1AA2" w:rsidRDefault="007D585A" w:rsidP="0036422C">
      <w:pPr>
        <w:pStyle w:val="David"/>
        <w:spacing w:before="0" w:line="360" w:lineRule="auto"/>
        <w:ind w:left="3544"/>
        <w:rPr>
          <w:b/>
          <w:bCs/>
          <w:sz w:val="16"/>
          <w:szCs w:val="16"/>
          <w:rtl/>
        </w:rPr>
      </w:pPr>
      <w:bookmarkStart w:id="4" w:name="LGS_Join_List"/>
      <w:r>
        <w:rPr>
          <w:rtl/>
        </w:rPr>
        <w:t xml:space="preserve"> </w:t>
      </w:r>
      <w:bookmarkEnd w:id="4"/>
      <w:r w:rsidR="002200A1" w:rsidRPr="00CF1AA2">
        <w:rPr>
          <w:rFonts w:hint="cs"/>
          <w:rtl/>
        </w:rPr>
        <w:tab/>
      </w:r>
      <w:bookmarkStart w:id="5" w:name="LGS_PM_NamesJoin"/>
      <w:r>
        <w:rPr>
          <w:rFonts w:hint="cs"/>
          <w:rtl/>
        </w:rPr>
        <w:t xml:space="preserve"> </w:t>
      </w:r>
      <w:bookmarkEnd w:id="5"/>
    </w:p>
    <w:p w14:paraId="34DB4103" w14:textId="77777777"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56138AA" w:rsidR="00E13C27" w:rsidRPr="00E06736" w:rsidRDefault="00904591" w:rsidP="00904591">
      <w:pPr>
        <w:pStyle w:val="David"/>
        <w:spacing w:before="0" w:line="240" w:lineRule="auto"/>
        <w:ind w:left="3544"/>
        <w:rPr>
          <w:rtl/>
        </w:rPr>
      </w:pPr>
      <w:r>
        <w:t xml:space="preserve">                                            </w:t>
      </w:r>
      <w:r w:rsidR="008F1308">
        <w:t xml:space="preserve"> </w:t>
      </w:r>
      <w:bookmarkStart w:id="6" w:name="Private_Number"/>
      <w:r>
        <w:rPr>
          <w:rFonts w:hint="cs"/>
          <w:rtl/>
        </w:rPr>
        <w:t>פ/3517/24</w:t>
      </w:r>
      <w:bookmarkEnd w:id="6"/>
    </w:p>
    <w:p w14:paraId="7F6961AC" w14:textId="77777777" w:rsidR="00E13C27" w:rsidRDefault="00E13C27" w:rsidP="00E13C27">
      <w:pPr>
        <w:spacing w:before="0" w:line="360" w:lineRule="auto"/>
        <w:ind w:left="2880" w:firstLine="720"/>
        <w:rPr>
          <w:rFonts w:cs="David"/>
          <w:sz w:val="26"/>
          <w:szCs w:val="26"/>
          <w:rtl/>
        </w:rPr>
      </w:pPr>
    </w:p>
    <w:p w14:paraId="7F6961AD" w14:textId="4D1A3AB9" w:rsidR="00E13C27" w:rsidRPr="00F67051" w:rsidRDefault="00A443CF" w:rsidP="000C7743">
      <w:pPr>
        <w:pStyle w:val="HeadHatzaotHok"/>
        <w:rPr>
          <w:rtl/>
        </w:rPr>
      </w:pPr>
      <w:bookmarkStart w:id="7" w:name="LGS_Subject"/>
      <w:r>
        <w:rPr>
          <w:rFonts w:hint="cs"/>
          <w:rtl/>
        </w:rPr>
        <w:t>הצעת חוק עבודת נשים (תיקון – הארכת תקופת הלידה וההורות להורי פג), התשפ"ב</w:t>
      </w:r>
      <w:r w:rsidR="000C7743">
        <w:rPr>
          <w:rFonts w:hint="eastAsia"/>
          <w:rtl/>
        </w:rPr>
        <w:t>–</w:t>
      </w:r>
      <w:r>
        <w:rPr>
          <w:rFonts w:hint="cs"/>
          <w:rtl/>
        </w:rPr>
        <w:t>2022</w:t>
      </w:r>
      <w:bookmarkEnd w:id="7"/>
    </w:p>
    <w:p w14:paraId="7F6961AE" w14:textId="77777777" w:rsidR="00E13C27" w:rsidRDefault="00E13C27" w:rsidP="0021633A">
      <w:pPr>
        <w:pStyle w:val="HeadDivreiHesber"/>
        <w:spacing w:before="0" w:after="0"/>
        <w:rPr>
          <w:rtl/>
        </w:rPr>
      </w:pPr>
    </w:p>
    <w:tbl>
      <w:tblPr>
        <w:bidiVisual/>
        <w:tblW w:w="9641"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624"/>
        <w:gridCol w:w="6522"/>
      </w:tblGrid>
      <w:tr w:rsidR="00964D92" w:rsidRPr="003A5BD4" w14:paraId="49F9DE3B" w14:textId="77777777" w:rsidTr="00C43029">
        <w:trPr>
          <w:cantSplit/>
        </w:trPr>
        <w:tc>
          <w:tcPr>
            <w:tcW w:w="1871" w:type="dxa"/>
          </w:tcPr>
          <w:p w14:paraId="7518005E" w14:textId="77777777" w:rsidR="00964D92" w:rsidRPr="001830E2" w:rsidRDefault="00964D92" w:rsidP="00C43029">
            <w:pPr>
              <w:pStyle w:val="TableSideHeading"/>
              <w:ind w:right="0"/>
              <w:rPr>
                <w:rtl/>
              </w:rPr>
            </w:pPr>
            <w:r w:rsidRPr="001830E2">
              <w:rPr>
                <w:rFonts w:hint="cs"/>
                <w:rtl/>
              </w:rPr>
              <w:t>תיקון סעיף 6</w:t>
            </w:r>
          </w:p>
        </w:tc>
        <w:tc>
          <w:tcPr>
            <w:tcW w:w="624" w:type="dxa"/>
          </w:tcPr>
          <w:p w14:paraId="34D2FFF3" w14:textId="77777777" w:rsidR="00964D92" w:rsidRPr="001830E2" w:rsidRDefault="00964D92" w:rsidP="00C43029">
            <w:pPr>
              <w:pStyle w:val="TableText"/>
              <w:ind w:right="0"/>
              <w:jc w:val="both"/>
              <w:rPr>
                <w:rtl/>
              </w:rPr>
            </w:pPr>
            <w:r w:rsidRPr="001830E2">
              <w:rPr>
                <w:rFonts w:hint="cs"/>
                <w:rtl/>
              </w:rPr>
              <w:t>1.</w:t>
            </w:r>
          </w:p>
        </w:tc>
        <w:tc>
          <w:tcPr>
            <w:tcW w:w="7146" w:type="dxa"/>
            <w:gridSpan w:val="2"/>
          </w:tcPr>
          <w:p w14:paraId="1DB1D30A" w14:textId="77777777" w:rsidR="00964D92" w:rsidRPr="001830E2" w:rsidRDefault="00964D92" w:rsidP="00C43029">
            <w:pPr>
              <w:pStyle w:val="TableBlock"/>
              <w:rPr>
                <w:rtl/>
              </w:rPr>
            </w:pPr>
            <w:r w:rsidRPr="001830E2">
              <w:rPr>
                <w:rFonts w:hint="cs"/>
                <w:rtl/>
              </w:rPr>
              <w:t>בחוק עבודת נשים, התשי"ד</w:t>
            </w:r>
            <w:r w:rsidRPr="001830E2">
              <w:rPr>
                <w:rFonts w:hint="eastAsia"/>
                <w:rtl/>
              </w:rPr>
              <w:t>–</w:t>
            </w:r>
            <w:r w:rsidRPr="001830E2">
              <w:rPr>
                <w:rFonts w:hint="cs"/>
                <w:rtl/>
              </w:rPr>
              <w:t>1954</w:t>
            </w:r>
            <w:r w:rsidRPr="00F54FA3">
              <w:rPr>
                <w:vertAlign w:val="superscript"/>
                <w:rtl/>
              </w:rPr>
              <w:footnoteReference w:id="2"/>
            </w:r>
            <w:r w:rsidRPr="001830E2">
              <w:rPr>
                <w:rtl/>
              </w:rPr>
              <w:t xml:space="preserve">, בסעיף 6(ד), במקום פסקה (1) יבוא: </w:t>
            </w:r>
          </w:p>
        </w:tc>
      </w:tr>
      <w:tr w:rsidR="00964D92" w:rsidRPr="003A5BD4" w14:paraId="6A1EE8DA" w14:textId="77777777" w:rsidTr="00C43029">
        <w:trPr>
          <w:cantSplit/>
        </w:trPr>
        <w:tc>
          <w:tcPr>
            <w:tcW w:w="1871" w:type="dxa"/>
          </w:tcPr>
          <w:p w14:paraId="11CF4EBC" w14:textId="77777777" w:rsidR="00964D92" w:rsidRPr="001830E2" w:rsidRDefault="00964D92" w:rsidP="00C43029">
            <w:pPr>
              <w:pStyle w:val="TableSideHeading"/>
              <w:rPr>
                <w:rtl/>
              </w:rPr>
            </w:pPr>
          </w:p>
        </w:tc>
        <w:tc>
          <w:tcPr>
            <w:tcW w:w="624" w:type="dxa"/>
          </w:tcPr>
          <w:p w14:paraId="590C38D8" w14:textId="77777777" w:rsidR="00964D92" w:rsidRPr="001830E2" w:rsidRDefault="00964D92" w:rsidP="00C43029">
            <w:pPr>
              <w:pStyle w:val="TableText"/>
              <w:rPr>
                <w:rtl/>
              </w:rPr>
            </w:pPr>
          </w:p>
        </w:tc>
        <w:tc>
          <w:tcPr>
            <w:tcW w:w="7146" w:type="dxa"/>
            <w:gridSpan w:val="2"/>
          </w:tcPr>
          <w:p w14:paraId="44ED994D" w14:textId="77777777" w:rsidR="00964D92" w:rsidRPr="001830E2" w:rsidRDefault="00964D92" w:rsidP="00C43029">
            <w:pPr>
              <w:pStyle w:val="TableBlock"/>
              <w:rPr>
                <w:rtl/>
              </w:rPr>
            </w:pPr>
            <w:r w:rsidRPr="001830E2">
              <w:rPr>
                <w:rtl/>
              </w:rPr>
              <w:t>"(1)</w:t>
            </w:r>
            <w:r w:rsidRPr="001830E2">
              <w:rPr>
                <w:rtl/>
              </w:rPr>
              <w:tab/>
            </w:r>
            <w:r w:rsidRPr="001830E2">
              <w:rPr>
                <w:rFonts w:hint="eastAsia"/>
                <w:rtl/>
              </w:rPr>
              <w:t>להא</w:t>
            </w:r>
            <w:r w:rsidRPr="001830E2">
              <w:rPr>
                <w:rtl/>
              </w:rPr>
              <w:t>ר</w:t>
            </w:r>
            <w:r w:rsidRPr="001830E2">
              <w:rPr>
                <w:rFonts w:hint="eastAsia"/>
                <w:rtl/>
              </w:rPr>
              <w:t>יך</w:t>
            </w:r>
            <w:r w:rsidRPr="001830E2">
              <w:rPr>
                <w:rtl/>
              </w:rPr>
              <w:t xml:space="preserve"> את תקופת הלידה וההורות לתקופה שלא תעלה על תקופת האשפוז, אך לא בי</w:t>
            </w:r>
            <w:r w:rsidRPr="001830E2">
              <w:rPr>
                <w:rFonts w:hint="eastAsia"/>
                <w:rtl/>
              </w:rPr>
              <w:t>ותר</w:t>
            </w:r>
            <w:r w:rsidRPr="001830E2">
              <w:rPr>
                <w:rtl/>
              </w:rPr>
              <w:t xml:space="preserve"> מעשרים שבועות, ולגבי עובדת שהילד אשר ילדה, כאמור ברישה של סעיף קטן זה הוא פג </w:t>
            </w:r>
            <w:r w:rsidRPr="001830E2">
              <w:rPr>
                <w:rFonts w:hint="eastAsia"/>
                <w:rtl/>
              </w:rPr>
              <w:t>–</w:t>
            </w:r>
            <w:r w:rsidRPr="001830E2">
              <w:rPr>
                <w:rtl/>
              </w:rPr>
              <w:t xml:space="preserve"> לא ביותר משלושים שבועות; הוראות פסקה זו יחולו גם לגבי עובדת שתקופת אשפוזו של הילד אשר ילדה, כאמור, אינה רצופה; לעניין זה, "פג" – יילוד אשר נולד בטרם </w:t>
            </w:r>
            <w:r w:rsidRPr="001830E2">
              <w:rPr>
                <w:rFonts w:hint="eastAsia"/>
                <w:rtl/>
              </w:rPr>
              <w:t>מלאו</w:t>
            </w:r>
            <w:r w:rsidRPr="001830E2">
              <w:rPr>
                <w:rtl/>
              </w:rPr>
              <w:t xml:space="preserve"> 36 שבועות הריון מלאים."</w:t>
            </w:r>
          </w:p>
        </w:tc>
      </w:tr>
      <w:tr w:rsidR="00964D92" w:rsidRPr="004261FA" w:rsidDel="003A5BD4" w14:paraId="37E5EEFD" w14:textId="77777777" w:rsidTr="00C43029">
        <w:trPr>
          <w:cantSplit/>
        </w:trPr>
        <w:tc>
          <w:tcPr>
            <w:tcW w:w="1871" w:type="dxa"/>
          </w:tcPr>
          <w:p w14:paraId="3ED7D0C8" w14:textId="77777777" w:rsidR="00964D92" w:rsidRPr="001830E2" w:rsidDel="003A5BD4" w:rsidRDefault="00964D92" w:rsidP="00C43029">
            <w:pPr>
              <w:pStyle w:val="TableSideHeading"/>
              <w:rPr>
                <w:rtl/>
              </w:rPr>
            </w:pPr>
            <w:r w:rsidRPr="001830E2">
              <w:rPr>
                <w:rFonts w:hint="eastAsia"/>
                <w:rtl/>
              </w:rPr>
              <w:t>תיקון</w:t>
            </w:r>
            <w:r w:rsidRPr="001830E2">
              <w:rPr>
                <w:rtl/>
              </w:rPr>
              <w:t xml:space="preserve"> </w:t>
            </w:r>
            <w:r w:rsidRPr="001830E2">
              <w:rPr>
                <w:rFonts w:hint="eastAsia"/>
                <w:rtl/>
              </w:rPr>
              <w:t>חוק</w:t>
            </w:r>
            <w:r w:rsidRPr="001830E2">
              <w:rPr>
                <w:rtl/>
              </w:rPr>
              <w:t xml:space="preserve"> </w:t>
            </w:r>
            <w:r w:rsidRPr="001830E2">
              <w:rPr>
                <w:rFonts w:hint="eastAsia"/>
                <w:rtl/>
              </w:rPr>
              <w:t>הביטוח</w:t>
            </w:r>
            <w:r w:rsidRPr="001830E2">
              <w:rPr>
                <w:rtl/>
              </w:rPr>
              <w:t xml:space="preserve"> </w:t>
            </w:r>
            <w:r w:rsidRPr="001830E2">
              <w:rPr>
                <w:rFonts w:hint="eastAsia"/>
                <w:rtl/>
              </w:rPr>
              <w:t>הלאומי</w:t>
            </w:r>
          </w:p>
        </w:tc>
        <w:tc>
          <w:tcPr>
            <w:tcW w:w="624" w:type="dxa"/>
          </w:tcPr>
          <w:p w14:paraId="78715D79" w14:textId="77777777" w:rsidR="00964D92" w:rsidRPr="001830E2" w:rsidDel="003A5BD4" w:rsidRDefault="00964D92" w:rsidP="00C43029">
            <w:pPr>
              <w:pStyle w:val="TableText"/>
              <w:rPr>
                <w:rtl/>
              </w:rPr>
            </w:pPr>
            <w:r w:rsidRPr="001830E2">
              <w:rPr>
                <w:rtl/>
              </w:rPr>
              <w:t>2.</w:t>
            </w:r>
          </w:p>
        </w:tc>
        <w:tc>
          <w:tcPr>
            <w:tcW w:w="7146" w:type="dxa"/>
            <w:gridSpan w:val="2"/>
          </w:tcPr>
          <w:p w14:paraId="301BDC7A" w14:textId="77777777" w:rsidR="00964D92" w:rsidRPr="001830E2" w:rsidDel="003A5BD4" w:rsidRDefault="00964D92" w:rsidP="00C43029">
            <w:pPr>
              <w:pStyle w:val="TableBlock"/>
              <w:rPr>
                <w:rtl/>
              </w:rPr>
            </w:pPr>
            <w:r w:rsidRPr="001830E2">
              <w:rPr>
                <w:rFonts w:hint="eastAsia"/>
                <w:rtl/>
              </w:rPr>
              <w:t>בחוק</w:t>
            </w:r>
            <w:r w:rsidRPr="001830E2">
              <w:rPr>
                <w:rtl/>
              </w:rPr>
              <w:t xml:space="preserve"> </w:t>
            </w:r>
            <w:r w:rsidRPr="001830E2">
              <w:rPr>
                <w:rFonts w:hint="eastAsia"/>
                <w:rtl/>
              </w:rPr>
              <w:t>הביטוח</w:t>
            </w:r>
            <w:r w:rsidRPr="001830E2">
              <w:rPr>
                <w:rtl/>
              </w:rPr>
              <w:t xml:space="preserve"> </w:t>
            </w:r>
            <w:r w:rsidRPr="001830E2">
              <w:rPr>
                <w:rFonts w:hint="eastAsia"/>
                <w:rtl/>
              </w:rPr>
              <w:t>הלאומי</w:t>
            </w:r>
            <w:r w:rsidRPr="001830E2">
              <w:rPr>
                <w:rtl/>
              </w:rPr>
              <w:t xml:space="preserve"> [נוסח </w:t>
            </w:r>
            <w:r w:rsidRPr="001830E2">
              <w:rPr>
                <w:rFonts w:hint="eastAsia"/>
                <w:rtl/>
              </w:rPr>
              <w:t>משולב</w:t>
            </w:r>
            <w:r w:rsidRPr="001830E2">
              <w:rPr>
                <w:rtl/>
              </w:rPr>
              <w:t xml:space="preserve">], </w:t>
            </w:r>
            <w:r w:rsidRPr="001830E2">
              <w:rPr>
                <w:rFonts w:hint="eastAsia"/>
                <w:rtl/>
              </w:rPr>
              <w:t>התשנ</w:t>
            </w:r>
            <w:r w:rsidRPr="001830E2">
              <w:rPr>
                <w:rtl/>
              </w:rPr>
              <w:t>"ה</w:t>
            </w:r>
            <w:r w:rsidRPr="001830E2">
              <w:rPr>
                <w:rFonts w:hint="eastAsia"/>
                <w:rtl/>
              </w:rPr>
              <w:t>–</w:t>
            </w:r>
            <w:r w:rsidRPr="001830E2">
              <w:rPr>
                <w:rtl/>
              </w:rPr>
              <w:t>1995</w:t>
            </w:r>
            <w:r w:rsidRPr="00F54FA3">
              <w:rPr>
                <w:vertAlign w:val="superscript"/>
                <w:rtl/>
              </w:rPr>
              <w:footnoteReference w:id="3"/>
            </w:r>
            <w:r w:rsidRPr="001830E2">
              <w:rPr>
                <w:rtl/>
              </w:rPr>
              <w:t xml:space="preserve">, בסעיף 51 </w:t>
            </w:r>
            <w:r w:rsidRPr="001830E2">
              <w:rPr>
                <w:rFonts w:hint="eastAsia"/>
                <w:rtl/>
              </w:rPr>
              <w:t>–</w:t>
            </w:r>
          </w:p>
        </w:tc>
      </w:tr>
      <w:tr w:rsidR="00964D92" w14:paraId="3F1A63AB" w14:textId="77777777" w:rsidTr="00C43029">
        <w:trPr>
          <w:cantSplit/>
        </w:trPr>
        <w:tc>
          <w:tcPr>
            <w:tcW w:w="1871" w:type="dxa"/>
          </w:tcPr>
          <w:p w14:paraId="0B0E425F" w14:textId="77777777" w:rsidR="00964D92" w:rsidRPr="001830E2" w:rsidRDefault="00964D92" w:rsidP="00C43029">
            <w:pPr>
              <w:pStyle w:val="TableSideHeading"/>
              <w:rPr>
                <w:rtl/>
              </w:rPr>
            </w:pPr>
          </w:p>
        </w:tc>
        <w:tc>
          <w:tcPr>
            <w:tcW w:w="624" w:type="dxa"/>
          </w:tcPr>
          <w:p w14:paraId="3D14DD8D" w14:textId="77777777" w:rsidR="00964D92" w:rsidRPr="001830E2" w:rsidRDefault="00964D92" w:rsidP="00C43029">
            <w:pPr>
              <w:pStyle w:val="TableText"/>
              <w:rPr>
                <w:rtl/>
              </w:rPr>
            </w:pPr>
          </w:p>
        </w:tc>
        <w:tc>
          <w:tcPr>
            <w:tcW w:w="7146" w:type="dxa"/>
            <w:gridSpan w:val="2"/>
          </w:tcPr>
          <w:p w14:paraId="6484360C" w14:textId="77777777" w:rsidR="00964D92" w:rsidRPr="001830E2" w:rsidRDefault="00964D92" w:rsidP="00C43029">
            <w:pPr>
              <w:pStyle w:val="TableBlock"/>
              <w:rPr>
                <w:rtl/>
              </w:rPr>
            </w:pPr>
            <w:r w:rsidRPr="001830E2">
              <w:rPr>
                <w:rtl/>
              </w:rPr>
              <w:t>(1)</w:t>
            </w:r>
            <w:r w:rsidRPr="001830E2">
              <w:rPr>
                <w:rtl/>
              </w:rPr>
              <w:tab/>
            </w:r>
            <w:r w:rsidRPr="001830E2">
              <w:rPr>
                <w:rFonts w:hint="eastAsia"/>
                <w:rtl/>
              </w:rPr>
              <w:t>בסעיף</w:t>
            </w:r>
            <w:r w:rsidRPr="001830E2">
              <w:rPr>
                <w:rtl/>
              </w:rPr>
              <w:t xml:space="preserve"> קטן (א) </w:t>
            </w:r>
            <w:r w:rsidRPr="001830E2">
              <w:rPr>
                <w:rFonts w:hint="eastAsia"/>
                <w:rtl/>
              </w:rPr>
              <w:t>–</w:t>
            </w:r>
          </w:p>
        </w:tc>
      </w:tr>
      <w:tr w:rsidR="00964D92" w14:paraId="1678BAD1" w14:textId="77777777" w:rsidTr="00C43029">
        <w:trPr>
          <w:cantSplit/>
          <w:trHeight w:val="60"/>
        </w:trPr>
        <w:tc>
          <w:tcPr>
            <w:tcW w:w="1871" w:type="dxa"/>
          </w:tcPr>
          <w:p w14:paraId="726E73E1" w14:textId="77777777" w:rsidR="00964D92" w:rsidRPr="001830E2" w:rsidRDefault="00964D92" w:rsidP="00C43029">
            <w:pPr>
              <w:pStyle w:val="TableSideHeading"/>
            </w:pPr>
          </w:p>
        </w:tc>
        <w:tc>
          <w:tcPr>
            <w:tcW w:w="624" w:type="dxa"/>
          </w:tcPr>
          <w:p w14:paraId="12607A00" w14:textId="77777777" w:rsidR="00964D92" w:rsidRPr="001830E2" w:rsidRDefault="00964D92" w:rsidP="00C43029">
            <w:pPr>
              <w:pStyle w:val="TableText"/>
            </w:pPr>
          </w:p>
        </w:tc>
        <w:tc>
          <w:tcPr>
            <w:tcW w:w="624" w:type="dxa"/>
          </w:tcPr>
          <w:p w14:paraId="1A34FDD6" w14:textId="77777777" w:rsidR="00964D92" w:rsidRDefault="00964D92" w:rsidP="00C43029">
            <w:pPr>
              <w:pStyle w:val="TableText"/>
            </w:pPr>
          </w:p>
        </w:tc>
        <w:tc>
          <w:tcPr>
            <w:tcW w:w="6522" w:type="dxa"/>
          </w:tcPr>
          <w:p w14:paraId="7DFAB82E" w14:textId="77777777" w:rsidR="00964D92" w:rsidRPr="001830E2" w:rsidRDefault="00964D92" w:rsidP="00C43029">
            <w:pPr>
              <w:pStyle w:val="TableBlock"/>
            </w:pPr>
            <w:r w:rsidRPr="001830E2">
              <w:rPr>
                <w:rtl/>
              </w:rPr>
              <w:t>(א)</w:t>
            </w:r>
            <w:r w:rsidRPr="001830E2">
              <w:rPr>
                <w:rtl/>
              </w:rPr>
              <w:tab/>
            </w:r>
            <w:r w:rsidRPr="001830E2">
              <w:rPr>
                <w:rFonts w:hint="eastAsia"/>
                <w:rtl/>
              </w:rPr>
              <w:t>בפסקה</w:t>
            </w:r>
            <w:r w:rsidRPr="001830E2">
              <w:rPr>
                <w:rtl/>
              </w:rPr>
              <w:t xml:space="preserve"> (1), </w:t>
            </w:r>
            <w:r w:rsidRPr="001830E2">
              <w:rPr>
                <w:rFonts w:hint="eastAsia"/>
                <w:rtl/>
              </w:rPr>
              <w:t>בסופה</w:t>
            </w:r>
            <w:r w:rsidRPr="001830E2">
              <w:rPr>
                <w:rtl/>
              </w:rPr>
              <w:t xml:space="preserve"> </w:t>
            </w:r>
            <w:r w:rsidRPr="001830E2">
              <w:rPr>
                <w:rFonts w:hint="eastAsia"/>
                <w:rtl/>
              </w:rPr>
              <w:t>יבוא</w:t>
            </w:r>
            <w:r w:rsidRPr="001830E2">
              <w:rPr>
                <w:rtl/>
              </w:rPr>
              <w:t xml:space="preserve"> "או </w:t>
            </w:r>
            <w:r>
              <w:rPr>
                <w:rFonts w:hint="cs"/>
                <w:rtl/>
              </w:rPr>
              <w:t>שלושים</w:t>
            </w:r>
            <w:r w:rsidRPr="001830E2">
              <w:rPr>
                <w:rtl/>
              </w:rPr>
              <w:t xml:space="preserve"> </w:t>
            </w:r>
            <w:r w:rsidRPr="001830E2">
              <w:rPr>
                <w:rFonts w:hint="eastAsia"/>
                <w:rtl/>
              </w:rPr>
              <w:t>שבועות</w:t>
            </w:r>
            <w:r w:rsidRPr="001830E2">
              <w:rPr>
                <w:rtl/>
              </w:rPr>
              <w:t xml:space="preserve"> </w:t>
            </w:r>
            <w:r w:rsidRPr="001830E2">
              <w:rPr>
                <w:rFonts w:hint="eastAsia"/>
                <w:rtl/>
              </w:rPr>
              <w:t>אם</w:t>
            </w:r>
            <w:r w:rsidRPr="001830E2">
              <w:rPr>
                <w:rtl/>
              </w:rPr>
              <w:t xml:space="preserve"> </w:t>
            </w:r>
            <w:r w:rsidRPr="001830E2">
              <w:rPr>
                <w:rFonts w:hint="eastAsia"/>
                <w:rtl/>
              </w:rPr>
              <w:t>המבוטחת</w:t>
            </w:r>
            <w:r w:rsidRPr="001830E2">
              <w:rPr>
                <w:rtl/>
              </w:rPr>
              <w:t xml:space="preserve"> </w:t>
            </w:r>
            <w:r w:rsidRPr="001830E2">
              <w:rPr>
                <w:rFonts w:hint="eastAsia"/>
                <w:rtl/>
              </w:rPr>
              <w:t>זכאית</w:t>
            </w:r>
            <w:r w:rsidRPr="001830E2">
              <w:rPr>
                <w:rtl/>
              </w:rPr>
              <w:t xml:space="preserve"> </w:t>
            </w:r>
            <w:r w:rsidRPr="001830E2">
              <w:rPr>
                <w:rFonts w:hint="eastAsia"/>
                <w:rtl/>
              </w:rPr>
              <w:t>לדמי</w:t>
            </w:r>
            <w:r w:rsidRPr="001830E2">
              <w:rPr>
                <w:rtl/>
              </w:rPr>
              <w:t xml:space="preserve"> </w:t>
            </w:r>
            <w:r w:rsidRPr="001830E2">
              <w:rPr>
                <w:rFonts w:hint="eastAsia"/>
                <w:rtl/>
              </w:rPr>
              <w:t>לידה</w:t>
            </w:r>
            <w:r w:rsidRPr="001830E2">
              <w:rPr>
                <w:rtl/>
              </w:rPr>
              <w:t xml:space="preserve"> </w:t>
            </w:r>
            <w:r w:rsidRPr="001830E2">
              <w:rPr>
                <w:rFonts w:hint="eastAsia"/>
                <w:rtl/>
              </w:rPr>
              <w:t>לפי</w:t>
            </w:r>
            <w:r w:rsidRPr="001830E2">
              <w:rPr>
                <w:rtl/>
              </w:rPr>
              <w:t xml:space="preserve"> </w:t>
            </w:r>
            <w:r w:rsidRPr="001830E2">
              <w:rPr>
                <w:rFonts w:hint="eastAsia"/>
                <w:rtl/>
              </w:rPr>
              <w:t>סעיף</w:t>
            </w:r>
            <w:r w:rsidRPr="001830E2">
              <w:rPr>
                <w:rtl/>
              </w:rPr>
              <w:t xml:space="preserve"> 50(א)(1) </w:t>
            </w:r>
            <w:r w:rsidRPr="001830E2">
              <w:rPr>
                <w:rFonts w:hint="eastAsia"/>
                <w:rtl/>
              </w:rPr>
              <w:t>והיא</w:t>
            </w:r>
            <w:r w:rsidRPr="001830E2">
              <w:rPr>
                <w:rtl/>
              </w:rPr>
              <w:t xml:space="preserve"> </w:t>
            </w:r>
            <w:r w:rsidRPr="001830E2">
              <w:rPr>
                <w:rFonts w:hint="eastAsia"/>
                <w:rtl/>
              </w:rPr>
              <w:t>האריכה</w:t>
            </w:r>
            <w:r w:rsidRPr="001830E2">
              <w:rPr>
                <w:rtl/>
              </w:rPr>
              <w:t xml:space="preserve"> </w:t>
            </w:r>
            <w:r w:rsidRPr="001830E2">
              <w:rPr>
                <w:rFonts w:hint="eastAsia"/>
                <w:rtl/>
              </w:rPr>
              <w:t>את</w:t>
            </w:r>
            <w:r w:rsidRPr="001830E2">
              <w:rPr>
                <w:rtl/>
              </w:rPr>
              <w:t xml:space="preserve"> </w:t>
            </w:r>
            <w:r w:rsidRPr="001830E2">
              <w:rPr>
                <w:rFonts w:hint="eastAsia"/>
                <w:rtl/>
              </w:rPr>
              <w:t>תקופת</w:t>
            </w:r>
            <w:r w:rsidRPr="001830E2">
              <w:rPr>
                <w:rtl/>
              </w:rPr>
              <w:t xml:space="preserve"> </w:t>
            </w:r>
            <w:r w:rsidRPr="001830E2">
              <w:rPr>
                <w:rFonts w:hint="eastAsia"/>
                <w:rtl/>
              </w:rPr>
              <w:t>הלידה</w:t>
            </w:r>
            <w:r w:rsidRPr="001830E2">
              <w:rPr>
                <w:rtl/>
              </w:rPr>
              <w:t xml:space="preserve"> </w:t>
            </w:r>
            <w:r w:rsidRPr="001830E2">
              <w:rPr>
                <w:rFonts w:hint="eastAsia"/>
                <w:rtl/>
              </w:rPr>
              <w:t>וההורות</w:t>
            </w:r>
            <w:r w:rsidRPr="001830E2">
              <w:rPr>
                <w:rtl/>
              </w:rPr>
              <w:t xml:space="preserve"> </w:t>
            </w:r>
            <w:r w:rsidRPr="001830E2">
              <w:rPr>
                <w:rFonts w:hint="eastAsia"/>
                <w:rtl/>
              </w:rPr>
              <w:t>לאחר</w:t>
            </w:r>
            <w:r w:rsidRPr="001830E2">
              <w:rPr>
                <w:rtl/>
              </w:rPr>
              <w:t xml:space="preserve"> </w:t>
            </w:r>
            <w:r w:rsidRPr="001830E2">
              <w:rPr>
                <w:rFonts w:hint="eastAsia"/>
                <w:rtl/>
              </w:rPr>
              <w:t>לידת</w:t>
            </w:r>
            <w:r w:rsidRPr="001830E2">
              <w:rPr>
                <w:rtl/>
              </w:rPr>
              <w:t xml:space="preserve"> </w:t>
            </w:r>
            <w:r w:rsidRPr="001830E2">
              <w:rPr>
                <w:rFonts w:hint="eastAsia"/>
                <w:rtl/>
              </w:rPr>
              <w:t>פג</w:t>
            </w:r>
            <w:r w:rsidRPr="001830E2">
              <w:rPr>
                <w:rtl/>
              </w:rPr>
              <w:t xml:space="preserve">, </w:t>
            </w:r>
            <w:r w:rsidRPr="001830E2">
              <w:rPr>
                <w:rFonts w:hint="eastAsia"/>
                <w:rtl/>
              </w:rPr>
              <w:t>לפי</w:t>
            </w:r>
            <w:r w:rsidRPr="001830E2">
              <w:rPr>
                <w:rtl/>
              </w:rPr>
              <w:t xml:space="preserve"> </w:t>
            </w:r>
            <w:r w:rsidRPr="001830E2">
              <w:rPr>
                <w:rFonts w:hint="eastAsia"/>
                <w:rtl/>
              </w:rPr>
              <w:t>הוראות</w:t>
            </w:r>
            <w:r w:rsidRPr="001830E2">
              <w:rPr>
                <w:rtl/>
              </w:rPr>
              <w:t xml:space="preserve"> </w:t>
            </w:r>
            <w:r w:rsidRPr="001830E2">
              <w:rPr>
                <w:rFonts w:hint="eastAsia"/>
                <w:rtl/>
              </w:rPr>
              <w:t>סעיף</w:t>
            </w:r>
            <w:r w:rsidRPr="001830E2">
              <w:rPr>
                <w:rtl/>
              </w:rPr>
              <w:t xml:space="preserve"> 6(ד) </w:t>
            </w:r>
            <w:r w:rsidRPr="001830E2">
              <w:rPr>
                <w:rFonts w:hint="eastAsia"/>
                <w:rtl/>
              </w:rPr>
              <w:t>לחוק</w:t>
            </w:r>
            <w:r w:rsidRPr="001830E2">
              <w:rPr>
                <w:rtl/>
              </w:rPr>
              <w:t xml:space="preserve"> </w:t>
            </w:r>
            <w:r w:rsidRPr="001830E2">
              <w:rPr>
                <w:rFonts w:hint="eastAsia"/>
                <w:rtl/>
              </w:rPr>
              <w:t>עבודת</w:t>
            </w:r>
            <w:r w:rsidRPr="001830E2">
              <w:rPr>
                <w:rtl/>
              </w:rPr>
              <w:t xml:space="preserve"> </w:t>
            </w:r>
            <w:r w:rsidRPr="001830E2">
              <w:rPr>
                <w:rFonts w:hint="eastAsia"/>
                <w:rtl/>
              </w:rPr>
              <w:t>נשים</w:t>
            </w:r>
            <w:r w:rsidRPr="001830E2">
              <w:rPr>
                <w:rtl/>
              </w:rPr>
              <w:t>;";</w:t>
            </w:r>
          </w:p>
        </w:tc>
      </w:tr>
      <w:tr w:rsidR="00964D92" w14:paraId="425C37A0" w14:textId="77777777" w:rsidTr="00C43029">
        <w:trPr>
          <w:cantSplit/>
          <w:trHeight w:val="60"/>
        </w:trPr>
        <w:tc>
          <w:tcPr>
            <w:tcW w:w="1871" w:type="dxa"/>
          </w:tcPr>
          <w:p w14:paraId="30A3B261" w14:textId="77777777" w:rsidR="00964D92" w:rsidRPr="001830E2" w:rsidRDefault="00964D92" w:rsidP="00C43029">
            <w:pPr>
              <w:pStyle w:val="TableSideHeading"/>
              <w:rPr>
                <w:rtl/>
              </w:rPr>
            </w:pPr>
          </w:p>
        </w:tc>
        <w:tc>
          <w:tcPr>
            <w:tcW w:w="624" w:type="dxa"/>
          </w:tcPr>
          <w:p w14:paraId="12FEED89" w14:textId="77777777" w:rsidR="00964D92" w:rsidRDefault="00964D92" w:rsidP="00C43029">
            <w:pPr>
              <w:pStyle w:val="TableText"/>
            </w:pPr>
          </w:p>
        </w:tc>
        <w:tc>
          <w:tcPr>
            <w:tcW w:w="624" w:type="dxa"/>
          </w:tcPr>
          <w:p w14:paraId="58EB6062" w14:textId="77777777" w:rsidR="00964D92" w:rsidRDefault="00964D92" w:rsidP="00C43029">
            <w:pPr>
              <w:pStyle w:val="TableText"/>
            </w:pPr>
          </w:p>
        </w:tc>
        <w:tc>
          <w:tcPr>
            <w:tcW w:w="6522" w:type="dxa"/>
          </w:tcPr>
          <w:p w14:paraId="58DD719B" w14:textId="77777777" w:rsidR="00964D92" w:rsidRPr="001830E2" w:rsidRDefault="00964D92" w:rsidP="00C43029">
            <w:pPr>
              <w:pStyle w:val="TableBlock"/>
              <w:rPr>
                <w:rtl/>
              </w:rPr>
            </w:pPr>
            <w:r w:rsidRPr="001830E2">
              <w:rPr>
                <w:rtl/>
              </w:rPr>
              <w:t>(ב)</w:t>
            </w:r>
            <w:r w:rsidRPr="001830E2">
              <w:rPr>
                <w:rtl/>
              </w:rPr>
              <w:tab/>
            </w:r>
            <w:r w:rsidRPr="001830E2">
              <w:rPr>
                <w:rFonts w:hint="eastAsia"/>
                <w:rtl/>
              </w:rPr>
              <w:t>בפסקה</w:t>
            </w:r>
            <w:r w:rsidRPr="001830E2">
              <w:rPr>
                <w:rtl/>
              </w:rPr>
              <w:t xml:space="preserve"> (2), </w:t>
            </w:r>
            <w:r w:rsidRPr="001830E2">
              <w:rPr>
                <w:rFonts w:hint="eastAsia"/>
                <w:rtl/>
              </w:rPr>
              <w:t>בסופה</w:t>
            </w:r>
            <w:r w:rsidRPr="001830E2">
              <w:rPr>
                <w:rtl/>
              </w:rPr>
              <w:t xml:space="preserve"> </w:t>
            </w:r>
            <w:r w:rsidRPr="001830E2">
              <w:rPr>
                <w:rFonts w:hint="eastAsia"/>
                <w:rtl/>
              </w:rPr>
              <w:t>יבוא</w:t>
            </w:r>
            <w:r w:rsidRPr="001830E2">
              <w:rPr>
                <w:rtl/>
              </w:rPr>
              <w:t xml:space="preserve"> "או </w:t>
            </w:r>
            <w:r>
              <w:rPr>
                <w:rFonts w:hint="cs"/>
                <w:rtl/>
              </w:rPr>
              <w:t>שלושים</w:t>
            </w:r>
            <w:r w:rsidRPr="001830E2">
              <w:rPr>
                <w:rtl/>
              </w:rPr>
              <w:t xml:space="preserve"> </w:t>
            </w:r>
            <w:r w:rsidRPr="001830E2">
              <w:rPr>
                <w:rFonts w:hint="eastAsia"/>
                <w:rtl/>
              </w:rPr>
              <w:t>שבועות</w:t>
            </w:r>
            <w:r w:rsidRPr="001830E2">
              <w:rPr>
                <w:rtl/>
              </w:rPr>
              <w:t xml:space="preserve"> </w:t>
            </w:r>
            <w:r w:rsidRPr="001830E2">
              <w:rPr>
                <w:rFonts w:hint="eastAsia"/>
                <w:rtl/>
              </w:rPr>
              <w:t>אם</w:t>
            </w:r>
            <w:r w:rsidRPr="001830E2">
              <w:rPr>
                <w:rtl/>
              </w:rPr>
              <w:t xml:space="preserve"> </w:t>
            </w:r>
            <w:r w:rsidRPr="001830E2">
              <w:rPr>
                <w:rFonts w:hint="eastAsia"/>
                <w:rtl/>
              </w:rPr>
              <w:t>המבוטחת</w:t>
            </w:r>
            <w:r w:rsidRPr="001830E2">
              <w:rPr>
                <w:rtl/>
              </w:rPr>
              <w:t xml:space="preserve"> </w:t>
            </w:r>
            <w:r w:rsidRPr="001830E2">
              <w:rPr>
                <w:rFonts w:hint="eastAsia"/>
                <w:rtl/>
              </w:rPr>
              <w:t>זכאית</w:t>
            </w:r>
            <w:r w:rsidRPr="001830E2">
              <w:rPr>
                <w:rtl/>
              </w:rPr>
              <w:t xml:space="preserve"> </w:t>
            </w:r>
            <w:r w:rsidRPr="001830E2">
              <w:rPr>
                <w:rFonts w:hint="eastAsia"/>
                <w:rtl/>
              </w:rPr>
              <w:t>לדמי</w:t>
            </w:r>
            <w:r w:rsidRPr="001830E2">
              <w:rPr>
                <w:rtl/>
              </w:rPr>
              <w:t xml:space="preserve"> </w:t>
            </w:r>
            <w:r w:rsidRPr="001830E2">
              <w:rPr>
                <w:rFonts w:hint="eastAsia"/>
                <w:rtl/>
              </w:rPr>
              <w:t>לידה</w:t>
            </w:r>
            <w:r w:rsidRPr="001830E2">
              <w:rPr>
                <w:rtl/>
              </w:rPr>
              <w:t xml:space="preserve"> </w:t>
            </w:r>
            <w:r w:rsidRPr="001830E2">
              <w:rPr>
                <w:rFonts w:hint="eastAsia"/>
                <w:rtl/>
              </w:rPr>
              <w:t>לפי</w:t>
            </w:r>
            <w:r w:rsidRPr="001830E2">
              <w:rPr>
                <w:rtl/>
              </w:rPr>
              <w:t xml:space="preserve"> </w:t>
            </w:r>
            <w:r w:rsidRPr="001830E2">
              <w:rPr>
                <w:rFonts w:hint="eastAsia"/>
                <w:rtl/>
              </w:rPr>
              <w:t>סעיף</w:t>
            </w:r>
            <w:r w:rsidRPr="001830E2">
              <w:rPr>
                <w:rtl/>
              </w:rPr>
              <w:t xml:space="preserve"> 50(א)(2) </w:t>
            </w:r>
            <w:r w:rsidRPr="001830E2">
              <w:rPr>
                <w:rFonts w:hint="eastAsia"/>
                <w:rtl/>
              </w:rPr>
              <w:t>והיא</w:t>
            </w:r>
            <w:r w:rsidRPr="001830E2">
              <w:rPr>
                <w:rtl/>
              </w:rPr>
              <w:t xml:space="preserve"> </w:t>
            </w:r>
            <w:r w:rsidRPr="001830E2">
              <w:rPr>
                <w:rFonts w:hint="eastAsia"/>
                <w:rtl/>
              </w:rPr>
              <w:t>האריכה</w:t>
            </w:r>
            <w:r w:rsidRPr="001830E2">
              <w:rPr>
                <w:rtl/>
              </w:rPr>
              <w:t xml:space="preserve"> </w:t>
            </w:r>
            <w:r w:rsidRPr="001830E2">
              <w:rPr>
                <w:rFonts w:hint="eastAsia"/>
                <w:rtl/>
              </w:rPr>
              <w:t>את</w:t>
            </w:r>
            <w:r w:rsidRPr="001830E2">
              <w:rPr>
                <w:rtl/>
              </w:rPr>
              <w:t xml:space="preserve"> </w:t>
            </w:r>
            <w:r w:rsidRPr="001830E2">
              <w:rPr>
                <w:rFonts w:hint="eastAsia"/>
                <w:rtl/>
              </w:rPr>
              <w:t>תקופת</w:t>
            </w:r>
            <w:r w:rsidRPr="001830E2">
              <w:rPr>
                <w:rtl/>
              </w:rPr>
              <w:t xml:space="preserve"> </w:t>
            </w:r>
            <w:r w:rsidRPr="001830E2">
              <w:rPr>
                <w:rFonts w:hint="eastAsia"/>
                <w:rtl/>
              </w:rPr>
              <w:t>הלידה</w:t>
            </w:r>
            <w:r w:rsidRPr="001830E2">
              <w:rPr>
                <w:rtl/>
              </w:rPr>
              <w:t xml:space="preserve"> </w:t>
            </w:r>
            <w:r w:rsidRPr="001830E2">
              <w:rPr>
                <w:rFonts w:hint="eastAsia"/>
                <w:rtl/>
              </w:rPr>
              <w:t>וההורות</w:t>
            </w:r>
            <w:r w:rsidRPr="001830E2">
              <w:rPr>
                <w:rtl/>
              </w:rPr>
              <w:t xml:space="preserve"> </w:t>
            </w:r>
            <w:r w:rsidRPr="001830E2">
              <w:rPr>
                <w:rFonts w:hint="eastAsia"/>
                <w:rtl/>
              </w:rPr>
              <w:t>לאחר</w:t>
            </w:r>
            <w:r w:rsidRPr="001830E2">
              <w:rPr>
                <w:rtl/>
              </w:rPr>
              <w:t xml:space="preserve"> </w:t>
            </w:r>
            <w:r w:rsidRPr="001830E2">
              <w:rPr>
                <w:rFonts w:hint="eastAsia"/>
                <w:rtl/>
              </w:rPr>
              <w:t>לידת</w:t>
            </w:r>
            <w:r w:rsidRPr="001830E2">
              <w:rPr>
                <w:rtl/>
              </w:rPr>
              <w:t xml:space="preserve"> </w:t>
            </w:r>
            <w:r w:rsidRPr="001830E2">
              <w:rPr>
                <w:rFonts w:hint="eastAsia"/>
                <w:rtl/>
              </w:rPr>
              <w:t>פג</w:t>
            </w:r>
            <w:r w:rsidRPr="001830E2">
              <w:rPr>
                <w:rtl/>
              </w:rPr>
              <w:t xml:space="preserve"> </w:t>
            </w:r>
            <w:r w:rsidRPr="001830E2">
              <w:rPr>
                <w:rFonts w:hint="eastAsia"/>
                <w:rtl/>
              </w:rPr>
              <w:t>לפי</w:t>
            </w:r>
            <w:r w:rsidRPr="001830E2">
              <w:rPr>
                <w:rtl/>
              </w:rPr>
              <w:t xml:space="preserve"> </w:t>
            </w:r>
            <w:r w:rsidRPr="001830E2">
              <w:rPr>
                <w:rFonts w:hint="eastAsia"/>
                <w:rtl/>
              </w:rPr>
              <w:t>הוראות</w:t>
            </w:r>
            <w:r w:rsidRPr="001830E2">
              <w:rPr>
                <w:rtl/>
              </w:rPr>
              <w:t xml:space="preserve"> </w:t>
            </w:r>
            <w:r w:rsidRPr="001830E2">
              <w:rPr>
                <w:rFonts w:hint="eastAsia"/>
                <w:rtl/>
              </w:rPr>
              <w:t>סעיף</w:t>
            </w:r>
            <w:r w:rsidRPr="001830E2">
              <w:rPr>
                <w:rtl/>
              </w:rPr>
              <w:t xml:space="preserve"> 6(ד) </w:t>
            </w:r>
            <w:r w:rsidRPr="001830E2">
              <w:rPr>
                <w:rFonts w:hint="eastAsia"/>
                <w:rtl/>
              </w:rPr>
              <w:t>לחוק</w:t>
            </w:r>
            <w:r w:rsidRPr="001830E2">
              <w:rPr>
                <w:rtl/>
              </w:rPr>
              <w:t xml:space="preserve"> </w:t>
            </w:r>
            <w:r w:rsidRPr="001830E2">
              <w:rPr>
                <w:rFonts w:hint="eastAsia"/>
                <w:rtl/>
              </w:rPr>
              <w:t>עבודת</w:t>
            </w:r>
            <w:r w:rsidRPr="001830E2">
              <w:rPr>
                <w:rtl/>
              </w:rPr>
              <w:t xml:space="preserve"> </w:t>
            </w:r>
            <w:r w:rsidRPr="001830E2">
              <w:rPr>
                <w:rFonts w:hint="eastAsia"/>
                <w:rtl/>
              </w:rPr>
              <w:t>נשים</w:t>
            </w:r>
            <w:r w:rsidRPr="001830E2">
              <w:rPr>
                <w:rtl/>
              </w:rPr>
              <w:t>.";</w:t>
            </w:r>
          </w:p>
        </w:tc>
      </w:tr>
      <w:tr w:rsidR="00964D92" w14:paraId="6B1E0B6B" w14:textId="77777777" w:rsidTr="00C43029">
        <w:trPr>
          <w:cantSplit/>
        </w:trPr>
        <w:tc>
          <w:tcPr>
            <w:tcW w:w="1871" w:type="dxa"/>
          </w:tcPr>
          <w:p w14:paraId="66CED9AD" w14:textId="77777777" w:rsidR="00964D92" w:rsidRPr="001830E2" w:rsidRDefault="00964D92" w:rsidP="00C43029">
            <w:pPr>
              <w:pStyle w:val="TableSideHeading"/>
              <w:rPr>
                <w:rtl/>
              </w:rPr>
            </w:pPr>
          </w:p>
        </w:tc>
        <w:tc>
          <w:tcPr>
            <w:tcW w:w="624" w:type="dxa"/>
          </w:tcPr>
          <w:p w14:paraId="2881B8E9" w14:textId="77777777" w:rsidR="00964D92" w:rsidDel="003A5BD4" w:rsidRDefault="00964D92" w:rsidP="00C43029">
            <w:pPr>
              <w:pStyle w:val="TableText"/>
              <w:rPr>
                <w:rtl/>
              </w:rPr>
            </w:pPr>
          </w:p>
        </w:tc>
        <w:tc>
          <w:tcPr>
            <w:tcW w:w="7146" w:type="dxa"/>
            <w:gridSpan w:val="2"/>
          </w:tcPr>
          <w:p w14:paraId="139F8E2D" w14:textId="77777777" w:rsidR="00964D92" w:rsidRPr="001830E2" w:rsidRDefault="00964D92" w:rsidP="00C43029">
            <w:pPr>
              <w:pStyle w:val="TableBlock"/>
              <w:rPr>
                <w:rtl/>
              </w:rPr>
            </w:pPr>
            <w:r w:rsidRPr="001830E2">
              <w:rPr>
                <w:rtl/>
              </w:rPr>
              <w:t>(2)</w:t>
            </w:r>
            <w:r w:rsidRPr="001830E2">
              <w:rPr>
                <w:rtl/>
              </w:rPr>
              <w:tab/>
            </w:r>
            <w:r w:rsidRPr="001830E2">
              <w:rPr>
                <w:rFonts w:hint="eastAsia"/>
                <w:rtl/>
              </w:rPr>
              <w:t>אחרי</w:t>
            </w:r>
            <w:r w:rsidRPr="001830E2">
              <w:rPr>
                <w:rtl/>
              </w:rPr>
              <w:t xml:space="preserve"> </w:t>
            </w:r>
            <w:r w:rsidRPr="001830E2">
              <w:rPr>
                <w:rFonts w:hint="eastAsia"/>
                <w:rtl/>
              </w:rPr>
              <w:t>סעיף</w:t>
            </w:r>
            <w:r w:rsidRPr="001830E2">
              <w:rPr>
                <w:rtl/>
              </w:rPr>
              <w:t xml:space="preserve"> </w:t>
            </w:r>
            <w:r w:rsidRPr="001830E2">
              <w:rPr>
                <w:rFonts w:hint="eastAsia"/>
                <w:rtl/>
              </w:rPr>
              <w:t>קטן</w:t>
            </w:r>
            <w:r w:rsidRPr="001830E2">
              <w:rPr>
                <w:rtl/>
              </w:rPr>
              <w:t xml:space="preserve"> (ד) </w:t>
            </w:r>
            <w:r w:rsidRPr="001830E2">
              <w:rPr>
                <w:rFonts w:hint="eastAsia"/>
                <w:rtl/>
              </w:rPr>
              <w:t>יבוא</w:t>
            </w:r>
            <w:r w:rsidRPr="001830E2">
              <w:rPr>
                <w:rtl/>
              </w:rPr>
              <w:t>:</w:t>
            </w:r>
          </w:p>
        </w:tc>
      </w:tr>
      <w:tr w:rsidR="00964D92" w14:paraId="025DBD27" w14:textId="77777777" w:rsidTr="00C43029">
        <w:trPr>
          <w:cantSplit/>
          <w:trHeight w:val="60"/>
        </w:trPr>
        <w:tc>
          <w:tcPr>
            <w:tcW w:w="1871" w:type="dxa"/>
          </w:tcPr>
          <w:p w14:paraId="7AA8F51D" w14:textId="77777777" w:rsidR="00964D92" w:rsidRDefault="00964D92" w:rsidP="00C43029">
            <w:pPr>
              <w:pStyle w:val="TableSideHeading"/>
            </w:pPr>
          </w:p>
        </w:tc>
        <w:tc>
          <w:tcPr>
            <w:tcW w:w="624" w:type="dxa"/>
          </w:tcPr>
          <w:p w14:paraId="3ED05372" w14:textId="77777777" w:rsidR="00964D92" w:rsidRDefault="00964D92" w:rsidP="00C43029">
            <w:pPr>
              <w:pStyle w:val="TableText"/>
            </w:pPr>
          </w:p>
        </w:tc>
        <w:tc>
          <w:tcPr>
            <w:tcW w:w="624" w:type="dxa"/>
          </w:tcPr>
          <w:p w14:paraId="591E0445" w14:textId="77777777" w:rsidR="00964D92" w:rsidRDefault="00964D92" w:rsidP="00C43029">
            <w:pPr>
              <w:pStyle w:val="TableText"/>
            </w:pPr>
          </w:p>
        </w:tc>
        <w:tc>
          <w:tcPr>
            <w:tcW w:w="6522" w:type="dxa"/>
          </w:tcPr>
          <w:p w14:paraId="6F96AC52" w14:textId="77777777" w:rsidR="00964D92" w:rsidRPr="001830E2" w:rsidRDefault="00964D92" w:rsidP="00C43029">
            <w:pPr>
              <w:pStyle w:val="TableBlock"/>
            </w:pPr>
            <w:r w:rsidRPr="001830E2">
              <w:rPr>
                <w:rtl/>
              </w:rPr>
              <w:t>"(ה)</w:t>
            </w:r>
            <w:r w:rsidRPr="001830E2">
              <w:rPr>
                <w:rtl/>
              </w:rPr>
              <w:tab/>
            </w:r>
            <w:r w:rsidRPr="001830E2">
              <w:rPr>
                <w:rFonts w:hint="eastAsia"/>
                <w:rtl/>
              </w:rPr>
              <w:t>בסעיף</w:t>
            </w:r>
            <w:r w:rsidRPr="001830E2">
              <w:rPr>
                <w:rtl/>
              </w:rPr>
              <w:t xml:space="preserve"> זה, "פג" – יילוד אשר נולד בטרם </w:t>
            </w:r>
            <w:r w:rsidRPr="001830E2">
              <w:rPr>
                <w:rFonts w:hint="eastAsia"/>
                <w:rtl/>
              </w:rPr>
              <w:t>מלאו</w:t>
            </w:r>
            <w:r w:rsidRPr="001830E2">
              <w:rPr>
                <w:rtl/>
              </w:rPr>
              <w:t xml:space="preserve"> 36 שבועות ה</w:t>
            </w:r>
            <w:r w:rsidRPr="001830E2">
              <w:rPr>
                <w:rFonts w:hint="eastAsia"/>
                <w:rtl/>
              </w:rPr>
              <w:t>י</w:t>
            </w:r>
            <w:r w:rsidRPr="001830E2">
              <w:rPr>
                <w:rtl/>
              </w:rPr>
              <w:t>ריון מלאים."</w:t>
            </w:r>
          </w:p>
        </w:tc>
      </w:tr>
      <w:tr w:rsidR="00964D92" w:rsidRPr="003A5BD4" w14:paraId="50E7A806" w14:textId="77777777" w:rsidTr="00C43029">
        <w:trPr>
          <w:cantSplit/>
        </w:trPr>
        <w:tc>
          <w:tcPr>
            <w:tcW w:w="1871" w:type="dxa"/>
          </w:tcPr>
          <w:p w14:paraId="612E4247" w14:textId="77777777" w:rsidR="00964D92" w:rsidRPr="001830E2" w:rsidRDefault="00964D92" w:rsidP="00C43029">
            <w:pPr>
              <w:pStyle w:val="TableSideHeading"/>
              <w:ind w:right="0"/>
              <w:rPr>
                <w:rtl/>
              </w:rPr>
            </w:pPr>
            <w:r w:rsidRPr="001830E2">
              <w:rPr>
                <w:rFonts w:hint="eastAsia"/>
                <w:rtl/>
              </w:rPr>
              <w:t>תחילה</w:t>
            </w:r>
          </w:p>
        </w:tc>
        <w:tc>
          <w:tcPr>
            <w:tcW w:w="624" w:type="dxa"/>
          </w:tcPr>
          <w:p w14:paraId="46B19814" w14:textId="77777777" w:rsidR="00964D92" w:rsidRPr="001830E2" w:rsidRDefault="00964D92" w:rsidP="00C43029">
            <w:pPr>
              <w:pStyle w:val="TableText"/>
              <w:ind w:right="0"/>
              <w:jc w:val="both"/>
              <w:rPr>
                <w:rtl/>
              </w:rPr>
            </w:pPr>
            <w:r w:rsidRPr="001830E2">
              <w:rPr>
                <w:rtl/>
              </w:rPr>
              <w:t>3.</w:t>
            </w:r>
          </w:p>
        </w:tc>
        <w:tc>
          <w:tcPr>
            <w:tcW w:w="7146" w:type="dxa"/>
            <w:gridSpan w:val="2"/>
          </w:tcPr>
          <w:p w14:paraId="26241288" w14:textId="77777777" w:rsidR="00964D92" w:rsidRPr="001830E2" w:rsidRDefault="00964D92" w:rsidP="00C43029">
            <w:pPr>
              <w:pStyle w:val="TableBlock"/>
              <w:rPr>
                <w:rtl/>
              </w:rPr>
            </w:pPr>
            <w:r w:rsidRPr="001830E2">
              <w:rPr>
                <w:rFonts w:hint="eastAsia"/>
                <w:rtl/>
              </w:rPr>
              <w:t>תחילתו</w:t>
            </w:r>
            <w:r w:rsidRPr="001830E2">
              <w:rPr>
                <w:rtl/>
              </w:rPr>
              <w:t xml:space="preserve"> </w:t>
            </w:r>
            <w:r w:rsidRPr="001830E2">
              <w:rPr>
                <w:rFonts w:hint="eastAsia"/>
                <w:rtl/>
              </w:rPr>
              <w:t>של</w:t>
            </w:r>
            <w:r w:rsidRPr="001830E2">
              <w:rPr>
                <w:rtl/>
              </w:rPr>
              <w:t xml:space="preserve"> </w:t>
            </w:r>
            <w:r w:rsidRPr="001830E2">
              <w:rPr>
                <w:rFonts w:hint="eastAsia"/>
                <w:rtl/>
              </w:rPr>
              <w:t>חוק</w:t>
            </w:r>
            <w:r w:rsidRPr="001830E2">
              <w:rPr>
                <w:rtl/>
              </w:rPr>
              <w:t xml:space="preserve"> </w:t>
            </w:r>
            <w:r w:rsidRPr="001830E2">
              <w:rPr>
                <w:rFonts w:hint="eastAsia"/>
                <w:rtl/>
              </w:rPr>
              <w:t>זה</w:t>
            </w:r>
            <w:r w:rsidRPr="001830E2">
              <w:rPr>
                <w:rtl/>
              </w:rPr>
              <w:t xml:space="preserve"> </w:t>
            </w:r>
            <w:r w:rsidRPr="001830E2">
              <w:rPr>
                <w:rFonts w:hint="eastAsia"/>
                <w:rtl/>
              </w:rPr>
              <w:t>שישה</w:t>
            </w:r>
            <w:r w:rsidRPr="001830E2">
              <w:rPr>
                <w:rtl/>
              </w:rPr>
              <w:t xml:space="preserve"> </w:t>
            </w:r>
            <w:r w:rsidRPr="001830E2">
              <w:rPr>
                <w:rFonts w:hint="eastAsia"/>
                <w:rtl/>
              </w:rPr>
              <w:t>חודשים</w:t>
            </w:r>
            <w:r w:rsidRPr="001830E2">
              <w:rPr>
                <w:rtl/>
              </w:rPr>
              <w:t xml:space="preserve"> </w:t>
            </w:r>
            <w:r w:rsidRPr="001830E2">
              <w:rPr>
                <w:rFonts w:hint="eastAsia"/>
                <w:rtl/>
              </w:rPr>
              <w:t>מיום</w:t>
            </w:r>
            <w:r w:rsidRPr="001830E2">
              <w:rPr>
                <w:rtl/>
              </w:rPr>
              <w:t xml:space="preserve"> </w:t>
            </w:r>
            <w:r w:rsidRPr="001830E2">
              <w:rPr>
                <w:rFonts w:hint="eastAsia"/>
                <w:rtl/>
              </w:rPr>
              <w:t>פרסומו</w:t>
            </w:r>
            <w:r w:rsidRPr="001830E2">
              <w:rPr>
                <w:rtl/>
              </w:rPr>
              <w:t>.</w:t>
            </w:r>
          </w:p>
        </w:tc>
      </w:tr>
    </w:tbl>
    <w:p w14:paraId="6225C5FE" w14:textId="77777777" w:rsidR="00964D92" w:rsidRDefault="00964D92" w:rsidP="00964D92">
      <w:pPr>
        <w:pStyle w:val="HeadDivreiHesber"/>
        <w:rPr>
          <w:rtl/>
        </w:rPr>
      </w:pPr>
      <w:r w:rsidRPr="0027450A">
        <w:rPr>
          <w:rFonts w:hint="cs"/>
          <w:rtl/>
        </w:rPr>
        <w:t>דברי הסבר</w:t>
      </w:r>
    </w:p>
    <w:p w14:paraId="5E299CFB" w14:textId="77777777" w:rsidR="00964D92" w:rsidRPr="00F54FA3" w:rsidRDefault="00964D92" w:rsidP="00964D92">
      <w:pPr>
        <w:pStyle w:val="Hesber"/>
        <w:rPr>
          <w:rtl/>
        </w:rPr>
      </w:pPr>
      <w:r w:rsidRPr="00F54FA3">
        <w:rPr>
          <w:rtl/>
        </w:rPr>
        <w:t xml:space="preserve">על פי חוק עבודת נשים, </w:t>
      </w:r>
      <w:r w:rsidRPr="00F54FA3">
        <w:rPr>
          <w:rFonts w:hint="eastAsia"/>
          <w:rtl/>
        </w:rPr>
        <w:t>התשי</w:t>
      </w:r>
      <w:r w:rsidRPr="00F54FA3">
        <w:rPr>
          <w:rtl/>
        </w:rPr>
        <w:t>"ד</w:t>
      </w:r>
      <w:r w:rsidRPr="00F54FA3">
        <w:rPr>
          <w:rFonts w:hint="eastAsia"/>
          <w:rtl/>
        </w:rPr>
        <w:t>–</w:t>
      </w:r>
      <w:r w:rsidRPr="00F54FA3">
        <w:rPr>
          <w:rtl/>
        </w:rPr>
        <w:t xml:space="preserve">1954 (להלן </w:t>
      </w:r>
      <w:r w:rsidRPr="00F54FA3">
        <w:rPr>
          <w:rFonts w:hint="eastAsia"/>
          <w:rtl/>
        </w:rPr>
        <w:t>–</w:t>
      </w:r>
      <w:r w:rsidRPr="00F54FA3">
        <w:rPr>
          <w:rtl/>
        </w:rPr>
        <w:t xml:space="preserve"> חוק עבודת נשים), אימהות שילדן מאושפז </w:t>
      </w:r>
      <w:r w:rsidRPr="00F54FA3">
        <w:rPr>
          <w:rFonts w:hint="eastAsia"/>
          <w:rtl/>
        </w:rPr>
        <w:t>למשך</w:t>
      </w:r>
      <w:r w:rsidRPr="00F54FA3">
        <w:rPr>
          <w:rtl/>
        </w:rPr>
        <w:t xml:space="preserve"> </w:t>
      </w:r>
      <w:r w:rsidRPr="00F54FA3">
        <w:rPr>
          <w:rFonts w:hint="eastAsia"/>
          <w:rtl/>
        </w:rPr>
        <w:t>תקופה</w:t>
      </w:r>
      <w:r w:rsidRPr="00F54FA3">
        <w:rPr>
          <w:rtl/>
        </w:rPr>
        <w:t xml:space="preserve"> </w:t>
      </w:r>
      <w:r w:rsidRPr="00F54FA3">
        <w:rPr>
          <w:rFonts w:hint="eastAsia"/>
          <w:rtl/>
        </w:rPr>
        <w:t>העולה</w:t>
      </w:r>
      <w:r w:rsidRPr="00F54FA3">
        <w:rPr>
          <w:rtl/>
        </w:rPr>
        <w:t xml:space="preserve"> </w:t>
      </w:r>
      <w:r w:rsidRPr="00F54FA3">
        <w:rPr>
          <w:rFonts w:hint="eastAsia"/>
          <w:rtl/>
        </w:rPr>
        <w:t>על</w:t>
      </w:r>
      <w:r w:rsidRPr="00F54FA3">
        <w:rPr>
          <w:rtl/>
        </w:rPr>
        <w:t xml:space="preserve"> שבועיים, זכאיות להאריך את </w:t>
      </w:r>
      <w:r w:rsidRPr="00F54FA3">
        <w:rPr>
          <w:rFonts w:hint="eastAsia"/>
          <w:rtl/>
        </w:rPr>
        <w:t>תקופת</w:t>
      </w:r>
      <w:r w:rsidRPr="00F54FA3">
        <w:rPr>
          <w:rtl/>
        </w:rPr>
        <w:t xml:space="preserve"> </w:t>
      </w:r>
      <w:r w:rsidRPr="00F54FA3">
        <w:rPr>
          <w:rFonts w:hint="eastAsia"/>
          <w:rtl/>
        </w:rPr>
        <w:t>הלידה</w:t>
      </w:r>
      <w:r w:rsidRPr="00F54FA3">
        <w:rPr>
          <w:rtl/>
        </w:rPr>
        <w:t xml:space="preserve"> </w:t>
      </w:r>
      <w:r w:rsidRPr="00F54FA3">
        <w:rPr>
          <w:rFonts w:hint="eastAsia"/>
          <w:rtl/>
        </w:rPr>
        <w:t>וההורות</w:t>
      </w:r>
      <w:r w:rsidRPr="00F54FA3">
        <w:rPr>
          <w:rtl/>
        </w:rPr>
        <w:t xml:space="preserve"> כמספר ימי האשפוז של היילוד מיום הלידה. לדוגמה</w:t>
      </w:r>
      <w:r>
        <w:rPr>
          <w:rtl/>
        </w:rPr>
        <w:t xml:space="preserve">, אם היילוד מאושפז בבית החולים </w:t>
      </w:r>
      <w:r>
        <w:rPr>
          <w:rFonts w:hint="cs"/>
          <w:rtl/>
        </w:rPr>
        <w:t>עשרים</w:t>
      </w:r>
      <w:r w:rsidRPr="00F54FA3">
        <w:rPr>
          <w:rtl/>
        </w:rPr>
        <w:t xml:space="preserve"> ימים לאחר הלידה, האם זכאית לפי חוק עבודת נשים להאריך את </w:t>
      </w:r>
      <w:r w:rsidRPr="00F54FA3">
        <w:rPr>
          <w:rFonts w:hint="eastAsia"/>
          <w:rtl/>
        </w:rPr>
        <w:t>תקופת</w:t>
      </w:r>
      <w:r w:rsidRPr="00F54FA3">
        <w:rPr>
          <w:rtl/>
        </w:rPr>
        <w:t xml:space="preserve"> </w:t>
      </w:r>
      <w:r w:rsidRPr="00F54FA3">
        <w:rPr>
          <w:rFonts w:hint="eastAsia"/>
          <w:rtl/>
        </w:rPr>
        <w:t>הלידה</w:t>
      </w:r>
      <w:r w:rsidRPr="00F54FA3">
        <w:rPr>
          <w:rtl/>
        </w:rPr>
        <w:t xml:space="preserve"> </w:t>
      </w:r>
      <w:r w:rsidRPr="00F54FA3">
        <w:rPr>
          <w:rFonts w:hint="eastAsia"/>
          <w:rtl/>
        </w:rPr>
        <w:t>וההורות</w:t>
      </w:r>
      <w:r>
        <w:rPr>
          <w:rtl/>
        </w:rPr>
        <w:t xml:space="preserve"> ב</w:t>
      </w:r>
      <w:r>
        <w:rPr>
          <w:rFonts w:hint="cs"/>
          <w:rtl/>
        </w:rPr>
        <w:t>עשרים</w:t>
      </w:r>
      <w:r w:rsidRPr="00F54FA3">
        <w:rPr>
          <w:rtl/>
        </w:rPr>
        <w:t xml:space="preserve"> ימים.</w:t>
      </w:r>
    </w:p>
    <w:p w14:paraId="7D781EC0" w14:textId="77777777" w:rsidR="00964D92" w:rsidRPr="00F54FA3" w:rsidRDefault="00964D92" w:rsidP="00964D92">
      <w:pPr>
        <w:pStyle w:val="Hesber"/>
        <w:rPr>
          <w:rtl/>
        </w:rPr>
      </w:pPr>
      <w:r w:rsidRPr="00F54FA3">
        <w:rPr>
          <w:rtl/>
        </w:rPr>
        <w:t xml:space="preserve">במקרים </w:t>
      </w:r>
      <w:r w:rsidRPr="00F54FA3">
        <w:rPr>
          <w:rFonts w:hint="eastAsia"/>
          <w:rtl/>
        </w:rPr>
        <w:t>אלו</w:t>
      </w:r>
      <w:r w:rsidRPr="00F54FA3">
        <w:rPr>
          <w:rtl/>
        </w:rPr>
        <w:t xml:space="preserve"> קובע חוק </w:t>
      </w:r>
      <w:r w:rsidRPr="00F54FA3">
        <w:rPr>
          <w:rFonts w:hint="eastAsia"/>
          <w:rtl/>
        </w:rPr>
        <w:t>עבודת</w:t>
      </w:r>
      <w:r w:rsidRPr="00F54FA3">
        <w:rPr>
          <w:rtl/>
        </w:rPr>
        <w:t xml:space="preserve"> נשים תקופת הארכה מקסימאלית של </w:t>
      </w:r>
      <w:r>
        <w:rPr>
          <w:rFonts w:hint="cs"/>
          <w:rtl/>
        </w:rPr>
        <w:t>עשרים</w:t>
      </w:r>
      <w:r w:rsidRPr="00F54FA3">
        <w:rPr>
          <w:rtl/>
        </w:rPr>
        <w:t xml:space="preserve"> שבועות. </w:t>
      </w:r>
    </w:p>
    <w:p w14:paraId="0440963A" w14:textId="000BE223" w:rsidR="00964D92" w:rsidRPr="00F54FA3" w:rsidRDefault="00964D92" w:rsidP="00964D92">
      <w:pPr>
        <w:pStyle w:val="Hesber"/>
        <w:rPr>
          <w:rtl/>
        </w:rPr>
      </w:pPr>
      <w:r w:rsidRPr="00F54FA3">
        <w:rPr>
          <w:rtl/>
        </w:rPr>
        <w:t xml:space="preserve">פגים מאושפזים לאחר הלידה דרך קבע, כאשר במקרים קשים האשפוז אורך מעל </w:t>
      </w:r>
      <w:r>
        <w:rPr>
          <w:rFonts w:hint="cs"/>
          <w:rtl/>
        </w:rPr>
        <w:t>עשרים</w:t>
      </w:r>
      <w:r w:rsidRPr="00F54FA3">
        <w:rPr>
          <w:rtl/>
        </w:rPr>
        <w:t xml:space="preserve"> שבועות </w:t>
      </w:r>
      <w:r w:rsidRPr="00F54FA3">
        <w:rPr>
          <w:rFonts w:hint="eastAsia"/>
          <w:rtl/>
        </w:rPr>
        <w:t>ו</w:t>
      </w:r>
      <w:r w:rsidRPr="00F54FA3">
        <w:rPr>
          <w:rtl/>
        </w:rPr>
        <w:t xml:space="preserve">לעיתים עד </w:t>
      </w:r>
      <w:r>
        <w:rPr>
          <w:rFonts w:hint="cs"/>
          <w:rtl/>
        </w:rPr>
        <w:t>שלושים</w:t>
      </w:r>
      <w:r w:rsidRPr="00F54FA3">
        <w:rPr>
          <w:rtl/>
        </w:rPr>
        <w:t xml:space="preserve"> שבועות. לאורך תקופה ארוכה זו ההורים מרותקים למיטת ילדם. הדבר מביא את ההורים לאובדן ימי עבודה ו</w:t>
      </w:r>
      <w:r w:rsidRPr="00F54FA3">
        <w:rPr>
          <w:rFonts w:hint="eastAsia"/>
          <w:rtl/>
        </w:rPr>
        <w:t>עקב</w:t>
      </w:r>
      <w:r w:rsidRPr="00F54FA3">
        <w:rPr>
          <w:rtl/>
        </w:rPr>
        <w:t xml:space="preserve"> כך אף </w:t>
      </w:r>
      <w:r w:rsidRPr="00F54FA3">
        <w:rPr>
          <w:rFonts w:hint="eastAsia"/>
          <w:rtl/>
        </w:rPr>
        <w:t>ל</w:t>
      </w:r>
      <w:r w:rsidRPr="00F54FA3">
        <w:rPr>
          <w:rtl/>
        </w:rPr>
        <w:t>התפטרות או פיטורי</w:t>
      </w:r>
      <w:r w:rsidR="000C7743">
        <w:rPr>
          <w:rFonts w:hint="cs"/>
          <w:rtl/>
        </w:rPr>
        <w:t>ם</w:t>
      </w:r>
      <w:r w:rsidRPr="00F54FA3">
        <w:rPr>
          <w:rtl/>
        </w:rPr>
        <w:t xml:space="preserve">. </w:t>
      </w:r>
    </w:p>
    <w:p w14:paraId="3CCFE6E4" w14:textId="3340BE17" w:rsidR="00964D92" w:rsidRPr="00F54FA3" w:rsidRDefault="00964D92" w:rsidP="00502575">
      <w:pPr>
        <w:pStyle w:val="Hesber"/>
        <w:rPr>
          <w:rtl/>
        </w:rPr>
      </w:pPr>
      <w:r w:rsidRPr="00F54FA3">
        <w:rPr>
          <w:rFonts w:hint="eastAsia"/>
          <w:rtl/>
        </w:rPr>
        <w:t>בנוסף</w:t>
      </w:r>
      <w:r w:rsidRPr="00F54FA3">
        <w:rPr>
          <w:rtl/>
        </w:rPr>
        <w:t xml:space="preserve">, </w:t>
      </w:r>
      <w:r w:rsidRPr="00F54FA3">
        <w:rPr>
          <w:rFonts w:hint="eastAsia"/>
          <w:rtl/>
        </w:rPr>
        <w:t>חוק</w:t>
      </w:r>
      <w:r w:rsidRPr="00F54FA3">
        <w:rPr>
          <w:rtl/>
        </w:rPr>
        <w:t xml:space="preserve"> </w:t>
      </w:r>
      <w:r w:rsidRPr="00F54FA3">
        <w:rPr>
          <w:rFonts w:hint="eastAsia"/>
          <w:rtl/>
        </w:rPr>
        <w:t>הביטוח</w:t>
      </w:r>
      <w:r w:rsidRPr="00F54FA3">
        <w:rPr>
          <w:rtl/>
        </w:rPr>
        <w:t xml:space="preserve"> </w:t>
      </w:r>
      <w:r w:rsidRPr="00F54FA3">
        <w:rPr>
          <w:rFonts w:hint="eastAsia"/>
          <w:rtl/>
        </w:rPr>
        <w:t>הלאומי</w:t>
      </w:r>
      <w:r w:rsidRPr="00F54FA3">
        <w:rPr>
          <w:rtl/>
        </w:rPr>
        <w:t xml:space="preserve"> [נוסח </w:t>
      </w:r>
      <w:r w:rsidRPr="00F54FA3">
        <w:rPr>
          <w:rFonts w:hint="eastAsia"/>
          <w:rtl/>
        </w:rPr>
        <w:t>משולב</w:t>
      </w:r>
      <w:r w:rsidRPr="00F54FA3">
        <w:rPr>
          <w:rtl/>
        </w:rPr>
        <w:t xml:space="preserve">], </w:t>
      </w:r>
      <w:r w:rsidRPr="00F54FA3">
        <w:rPr>
          <w:rFonts w:hint="eastAsia"/>
          <w:rtl/>
        </w:rPr>
        <w:t>התשנ</w:t>
      </w:r>
      <w:r w:rsidRPr="00F54FA3">
        <w:rPr>
          <w:rtl/>
        </w:rPr>
        <w:t>"ה</w:t>
      </w:r>
      <w:r w:rsidRPr="00F54FA3">
        <w:rPr>
          <w:rFonts w:hint="eastAsia"/>
          <w:rtl/>
        </w:rPr>
        <w:t>–</w:t>
      </w:r>
      <w:r w:rsidRPr="00F54FA3">
        <w:rPr>
          <w:rtl/>
        </w:rPr>
        <w:t xml:space="preserve">1995 (להלן </w:t>
      </w:r>
      <w:r w:rsidRPr="00F54FA3">
        <w:rPr>
          <w:rFonts w:hint="eastAsia"/>
          <w:rtl/>
        </w:rPr>
        <w:t>–</w:t>
      </w:r>
      <w:r w:rsidRPr="00F54FA3">
        <w:rPr>
          <w:rtl/>
        </w:rPr>
        <w:t xml:space="preserve"> חוק הביטוח הלאומי), קובע כי מבוטחת אשר זכאית להאריך את תקופת הלידה וההורות </w:t>
      </w:r>
      <w:r w:rsidRPr="00F54FA3">
        <w:rPr>
          <w:rFonts w:hint="eastAsia"/>
          <w:rtl/>
        </w:rPr>
        <w:t>והודיעה</w:t>
      </w:r>
      <w:r w:rsidRPr="00F54FA3">
        <w:rPr>
          <w:rtl/>
        </w:rPr>
        <w:t xml:space="preserve"> למוסד לביטוח לאומי על מימוש זכותה זו, תהיה זכאית לדמי לידה נוספים בעד תקופת ההארכה. עם זאת, הוראות חוק הביטוח הלאומי קובעות כי דמי הלידה המקסימליים הנוספים לא ישולמו בעד פרק הזמן העולה על </w:t>
      </w:r>
      <w:r>
        <w:rPr>
          <w:rFonts w:hint="cs"/>
          <w:rtl/>
        </w:rPr>
        <w:t>עשרים</w:t>
      </w:r>
      <w:r w:rsidRPr="00F54FA3">
        <w:rPr>
          <w:rtl/>
        </w:rPr>
        <w:t xml:space="preserve"> שבועות או 12 שבועות</w:t>
      </w:r>
      <w:r w:rsidR="00853616">
        <w:rPr>
          <w:rFonts w:hint="cs"/>
          <w:rtl/>
        </w:rPr>
        <w:t>,</w:t>
      </w:r>
      <w:r w:rsidRPr="00F54FA3">
        <w:rPr>
          <w:rtl/>
        </w:rPr>
        <w:t xml:space="preserve"> </w:t>
      </w:r>
      <w:r w:rsidR="00853616">
        <w:rPr>
          <w:rFonts w:hint="cs"/>
          <w:rtl/>
        </w:rPr>
        <w:t xml:space="preserve">כאשר </w:t>
      </w:r>
      <w:r w:rsidRPr="00F54FA3">
        <w:rPr>
          <w:rtl/>
        </w:rPr>
        <w:t xml:space="preserve">אורך התקופה שבעדה ישולמו דמי לידה נוספים </w:t>
      </w:r>
      <w:r w:rsidR="00853616">
        <w:rPr>
          <w:rFonts w:hint="cs"/>
          <w:rtl/>
        </w:rPr>
        <w:t>נגזר מ</w:t>
      </w:r>
      <w:r w:rsidRPr="00F54FA3">
        <w:rPr>
          <w:rtl/>
        </w:rPr>
        <w:t xml:space="preserve">אורך התקופה בה שולמו דמי ביטוח לאומי ביחס ליולדת טרם הלידה. </w:t>
      </w:r>
    </w:p>
    <w:p w14:paraId="0ED99F09" w14:textId="7B0AC079" w:rsidR="00964D92" w:rsidRDefault="00964D92" w:rsidP="00502575">
      <w:pPr>
        <w:pStyle w:val="Hesber"/>
        <w:rPr>
          <w:rtl/>
        </w:rPr>
      </w:pPr>
      <w:r w:rsidRPr="00F54FA3">
        <w:rPr>
          <w:rtl/>
        </w:rPr>
        <w:t xml:space="preserve">לכן, קיימת הצדקה מיוחדת </w:t>
      </w:r>
      <w:r w:rsidRPr="00F54FA3">
        <w:rPr>
          <w:rFonts w:hint="eastAsia"/>
          <w:rtl/>
        </w:rPr>
        <w:t>לקבוע</w:t>
      </w:r>
      <w:r w:rsidRPr="00F54FA3">
        <w:rPr>
          <w:rtl/>
        </w:rPr>
        <w:t xml:space="preserve"> כי הגבלת </w:t>
      </w:r>
      <w:r>
        <w:rPr>
          <w:rFonts w:hint="cs"/>
          <w:rtl/>
        </w:rPr>
        <w:t>עשרים</w:t>
      </w:r>
      <w:r w:rsidRPr="00F54FA3">
        <w:rPr>
          <w:rtl/>
        </w:rPr>
        <w:t xml:space="preserve"> השבועות הקבועה בחוק לא תחול ביחס להורי פגים שילדם אושפז תקופה כה ממושכת בבית החולים, </w:t>
      </w:r>
      <w:r w:rsidRPr="00F54FA3">
        <w:rPr>
          <w:rFonts w:hint="eastAsia"/>
          <w:rtl/>
        </w:rPr>
        <w:t>ולקבוע</w:t>
      </w:r>
      <w:r w:rsidRPr="00F54FA3">
        <w:rPr>
          <w:rtl/>
        </w:rPr>
        <w:t xml:space="preserve"> כי לגביהם תיקבע תקופה מקסימלית של </w:t>
      </w:r>
      <w:r>
        <w:rPr>
          <w:rFonts w:hint="cs"/>
          <w:rtl/>
        </w:rPr>
        <w:t>שלושים</w:t>
      </w:r>
      <w:r w:rsidRPr="00F54FA3">
        <w:rPr>
          <w:rtl/>
        </w:rPr>
        <w:t xml:space="preserve"> שבועות. לפיכך, מוצע לתקן את </w:t>
      </w:r>
      <w:r w:rsidR="000C7743">
        <w:rPr>
          <w:rFonts w:hint="cs"/>
          <w:rtl/>
        </w:rPr>
        <w:t xml:space="preserve">חוק עבודת נשים ואת </w:t>
      </w:r>
      <w:r w:rsidRPr="00F54FA3">
        <w:rPr>
          <w:rtl/>
        </w:rPr>
        <w:t>חוק הביטוח הלאומי בהתאם</w:t>
      </w:r>
      <w:r w:rsidR="000C7743">
        <w:rPr>
          <w:rFonts w:hint="cs"/>
          <w:rtl/>
        </w:rPr>
        <w:t>,</w:t>
      </w:r>
      <w:r w:rsidRPr="00F54FA3">
        <w:rPr>
          <w:rtl/>
        </w:rPr>
        <w:t xml:space="preserve"> ולאפשר</w:t>
      </w:r>
      <w:r w:rsidR="000C7743">
        <w:rPr>
          <w:rFonts w:hint="cs"/>
          <w:rtl/>
        </w:rPr>
        <w:t xml:space="preserve"> את הארכת תקופת הלידה וההורות לאימהות לפגים עד ל-30 שבועות</w:t>
      </w:r>
      <w:r w:rsidRPr="00F54FA3">
        <w:rPr>
          <w:rtl/>
        </w:rPr>
        <w:t xml:space="preserve"> </w:t>
      </w:r>
      <w:r w:rsidR="000C7743">
        <w:rPr>
          <w:rFonts w:hint="cs"/>
          <w:rtl/>
        </w:rPr>
        <w:t xml:space="preserve">ואת </w:t>
      </w:r>
      <w:r w:rsidR="00853616">
        <w:rPr>
          <w:rFonts w:hint="cs"/>
          <w:rtl/>
        </w:rPr>
        <w:t>תשלום</w:t>
      </w:r>
      <w:r w:rsidR="00853616" w:rsidRPr="00F54FA3">
        <w:rPr>
          <w:rtl/>
        </w:rPr>
        <w:t xml:space="preserve"> </w:t>
      </w:r>
      <w:r w:rsidRPr="00F54FA3">
        <w:rPr>
          <w:rtl/>
        </w:rPr>
        <w:t xml:space="preserve">דמי </w:t>
      </w:r>
      <w:r w:rsidR="000C7743">
        <w:rPr>
          <w:rFonts w:hint="cs"/>
          <w:rtl/>
        </w:rPr>
        <w:t>ה</w:t>
      </w:r>
      <w:r w:rsidRPr="00F54FA3">
        <w:rPr>
          <w:rtl/>
        </w:rPr>
        <w:t xml:space="preserve">לידה </w:t>
      </w:r>
      <w:r w:rsidR="000C7743">
        <w:rPr>
          <w:rFonts w:hint="cs"/>
          <w:rtl/>
        </w:rPr>
        <w:t>ה</w:t>
      </w:r>
      <w:r w:rsidRPr="00F54FA3">
        <w:rPr>
          <w:rtl/>
        </w:rPr>
        <w:t>נוספים</w:t>
      </w:r>
      <w:r w:rsidR="000C7743">
        <w:rPr>
          <w:rFonts w:hint="cs"/>
          <w:rtl/>
        </w:rPr>
        <w:t xml:space="preserve"> עבור תקופה זו.</w:t>
      </w:r>
      <w:r w:rsidRPr="00F54FA3">
        <w:rPr>
          <w:rtl/>
        </w:rPr>
        <w:t xml:space="preserve"> </w:t>
      </w:r>
    </w:p>
    <w:p w14:paraId="10551DA0" w14:textId="63EAFFE7" w:rsidR="00897615" w:rsidRPr="00F54FA3" w:rsidRDefault="00897615" w:rsidP="000C7743">
      <w:pPr>
        <w:pStyle w:val="Hesber"/>
        <w:rPr>
          <w:rtl/>
        </w:rPr>
      </w:pPr>
      <w:r>
        <w:rPr>
          <w:rFonts w:hint="cs"/>
          <w:rtl/>
        </w:rPr>
        <w:t>הצעת חוק דומה בעיקרה הונחה על שולחן הכנסת העשירם וארבע על ידי חברת הכנסת אורלי לוי אבקסיס (</w:t>
      </w:r>
      <w:r w:rsidR="00FD661E" w:rsidRPr="00FD661E">
        <w:rPr>
          <w:rtl/>
        </w:rPr>
        <w:t>פ/2117/24</w:t>
      </w:r>
      <w:r w:rsidR="00FD661E">
        <w:rPr>
          <w:rFonts w:hint="cs"/>
          <w:rtl/>
        </w:rPr>
        <w:t>).</w:t>
      </w:r>
    </w:p>
    <w:p w14:paraId="4282C116" w14:textId="436E9E09" w:rsidR="00964D92" w:rsidRDefault="00964D92" w:rsidP="00964D92">
      <w:pPr>
        <w:pStyle w:val="Hesber"/>
        <w:rPr>
          <w:rtl/>
        </w:rPr>
      </w:pPr>
      <w:r w:rsidRPr="00F54FA3">
        <w:rPr>
          <w:rFonts w:hint="eastAsia"/>
          <w:rtl/>
        </w:rPr>
        <w:t>הצעות</w:t>
      </w:r>
      <w:r w:rsidRPr="00F54FA3">
        <w:rPr>
          <w:rtl/>
        </w:rPr>
        <w:t xml:space="preserve"> </w:t>
      </w:r>
      <w:r w:rsidRPr="00F54FA3">
        <w:rPr>
          <w:rFonts w:hint="eastAsia"/>
          <w:rtl/>
        </w:rPr>
        <w:t>חוק</w:t>
      </w:r>
      <w:r w:rsidRPr="00F54FA3">
        <w:rPr>
          <w:rtl/>
        </w:rPr>
        <w:t xml:space="preserve"> </w:t>
      </w:r>
      <w:r w:rsidRPr="00F54FA3">
        <w:rPr>
          <w:rFonts w:hint="eastAsia"/>
          <w:rtl/>
        </w:rPr>
        <w:t>זהות</w:t>
      </w:r>
      <w:r w:rsidRPr="00F54FA3">
        <w:rPr>
          <w:rtl/>
        </w:rPr>
        <w:t xml:space="preserve"> </w:t>
      </w:r>
      <w:r w:rsidRPr="00F54FA3">
        <w:rPr>
          <w:rFonts w:hint="eastAsia"/>
          <w:rtl/>
        </w:rPr>
        <w:t>הונחו</w:t>
      </w:r>
      <w:r w:rsidRPr="00F54FA3">
        <w:rPr>
          <w:rtl/>
        </w:rPr>
        <w:t xml:space="preserve"> </w:t>
      </w:r>
      <w:r w:rsidRPr="00F54FA3">
        <w:rPr>
          <w:rFonts w:hint="eastAsia"/>
          <w:rtl/>
        </w:rPr>
        <w:t>על</w:t>
      </w:r>
      <w:r w:rsidRPr="00F54FA3">
        <w:rPr>
          <w:rtl/>
        </w:rPr>
        <w:t xml:space="preserve"> </w:t>
      </w:r>
      <w:r w:rsidRPr="00F54FA3">
        <w:rPr>
          <w:rFonts w:hint="eastAsia"/>
          <w:rtl/>
        </w:rPr>
        <w:t>שולחן</w:t>
      </w:r>
      <w:r w:rsidRPr="00F54FA3">
        <w:rPr>
          <w:rtl/>
        </w:rPr>
        <w:t xml:space="preserve"> </w:t>
      </w:r>
      <w:r w:rsidRPr="00F54FA3">
        <w:rPr>
          <w:rFonts w:hint="eastAsia"/>
          <w:rtl/>
        </w:rPr>
        <w:t>הכנסת</w:t>
      </w:r>
      <w:r w:rsidRPr="00F54FA3">
        <w:rPr>
          <w:rtl/>
        </w:rPr>
        <w:t xml:space="preserve"> </w:t>
      </w:r>
      <w:r w:rsidRPr="00F54FA3">
        <w:rPr>
          <w:rFonts w:hint="eastAsia"/>
          <w:rtl/>
        </w:rPr>
        <w:t>העשרים</w:t>
      </w:r>
      <w:r w:rsidRPr="00F54FA3">
        <w:rPr>
          <w:rtl/>
        </w:rPr>
        <w:t xml:space="preserve"> </w:t>
      </w:r>
      <w:r w:rsidRPr="00F54FA3">
        <w:rPr>
          <w:rFonts w:hint="eastAsia"/>
          <w:rtl/>
        </w:rPr>
        <w:t>על</w:t>
      </w:r>
      <w:r w:rsidRPr="00F54FA3">
        <w:rPr>
          <w:rtl/>
        </w:rPr>
        <w:t xml:space="preserve"> </w:t>
      </w:r>
      <w:r w:rsidRPr="00F54FA3">
        <w:rPr>
          <w:rFonts w:hint="eastAsia"/>
          <w:rtl/>
        </w:rPr>
        <w:t>ידי</w:t>
      </w:r>
      <w:r w:rsidRPr="00F54FA3">
        <w:rPr>
          <w:rtl/>
        </w:rPr>
        <w:t xml:space="preserve"> </w:t>
      </w:r>
      <w:r w:rsidRPr="00F54FA3">
        <w:rPr>
          <w:rFonts w:hint="eastAsia"/>
          <w:rtl/>
        </w:rPr>
        <w:t>חברת</w:t>
      </w:r>
      <w:r w:rsidRPr="00F54FA3">
        <w:rPr>
          <w:rtl/>
        </w:rPr>
        <w:t xml:space="preserve"> </w:t>
      </w:r>
      <w:r w:rsidRPr="00F54FA3">
        <w:rPr>
          <w:rFonts w:hint="eastAsia"/>
          <w:rtl/>
        </w:rPr>
        <w:t>הכנסת</w:t>
      </w:r>
      <w:r w:rsidRPr="00F54FA3">
        <w:rPr>
          <w:rtl/>
        </w:rPr>
        <w:t xml:space="preserve"> </w:t>
      </w:r>
      <w:r w:rsidRPr="00F54FA3">
        <w:rPr>
          <w:rFonts w:hint="eastAsia"/>
          <w:rtl/>
        </w:rPr>
        <w:t>אורלי</w:t>
      </w:r>
      <w:r w:rsidRPr="00F54FA3">
        <w:rPr>
          <w:rtl/>
        </w:rPr>
        <w:t xml:space="preserve"> </w:t>
      </w:r>
      <w:r w:rsidRPr="00F54FA3">
        <w:rPr>
          <w:rFonts w:hint="eastAsia"/>
          <w:rtl/>
        </w:rPr>
        <w:t>לוי</w:t>
      </w:r>
      <w:r w:rsidRPr="00F54FA3">
        <w:rPr>
          <w:rtl/>
        </w:rPr>
        <w:t xml:space="preserve"> </w:t>
      </w:r>
      <w:r w:rsidRPr="00F54FA3">
        <w:rPr>
          <w:rFonts w:hint="eastAsia"/>
          <w:rtl/>
        </w:rPr>
        <w:t>אבקסיס</w:t>
      </w:r>
      <w:r w:rsidRPr="00F54FA3">
        <w:rPr>
          <w:rtl/>
        </w:rPr>
        <w:t xml:space="preserve"> </w:t>
      </w:r>
      <w:r w:rsidRPr="00F54FA3">
        <w:rPr>
          <w:rFonts w:hint="eastAsia"/>
          <w:rtl/>
        </w:rPr>
        <w:t>וקבוצת</w:t>
      </w:r>
      <w:r w:rsidRPr="00F54FA3">
        <w:rPr>
          <w:rtl/>
        </w:rPr>
        <w:t xml:space="preserve"> </w:t>
      </w:r>
      <w:r w:rsidRPr="00F54FA3">
        <w:rPr>
          <w:rFonts w:hint="eastAsia"/>
          <w:rtl/>
        </w:rPr>
        <w:t>חברי</w:t>
      </w:r>
      <w:r w:rsidRPr="00F54FA3">
        <w:rPr>
          <w:rtl/>
        </w:rPr>
        <w:t xml:space="preserve"> </w:t>
      </w:r>
      <w:r w:rsidRPr="00F54FA3">
        <w:rPr>
          <w:rFonts w:hint="eastAsia"/>
          <w:rtl/>
        </w:rPr>
        <w:t>הכנסת</w:t>
      </w:r>
      <w:r w:rsidRPr="00F54FA3">
        <w:rPr>
          <w:rtl/>
        </w:rPr>
        <w:t xml:space="preserve"> (פ/3427/20) </w:t>
      </w:r>
      <w:r w:rsidRPr="00F54FA3">
        <w:rPr>
          <w:rFonts w:hint="eastAsia"/>
          <w:rtl/>
        </w:rPr>
        <w:t>ועל</w:t>
      </w:r>
      <w:r w:rsidRPr="00F54FA3">
        <w:rPr>
          <w:rtl/>
        </w:rPr>
        <w:t xml:space="preserve"> </w:t>
      </w:r>
      <w:r w:rsidRPr="00F54FA3">
        <w:rPr>
          <w:rFonts w:hint="eastAsia"/>
          <w:rtl/>
        </w:rPr>
        <w:t>ידי</w:t>
      </w:r>
      <w:r w:rsidRPr="00F54FA3">
        <w:rPr>
          <w:rtl/>
        </w:rPr>
        <w:t xml:space="preserve"> </w:t>
      </w:r>
      <w:r w:rsidRPr="00F54FA3">
        <w:rPr>
          <w:rFonts w:hint="eastAsia"/>
          <w:rtl/>
        </w:rPr>
        <w:t>חבר</w:t>
      </w:r>
      <w:r w:rsidRPr="00F54FA3">
        <w:rPr>
          <w:rtl/>
        </w:rPr>
        <w:t xml:space="preserve"> </w:t>
      </w:r>
      <w:r w:rsidRPr="00F54FA3">
        <w:rPr>
          <w:rFonts w:hint="eastAsia"/>
          <w:rtl/>
        </w:rPr>
        <w:t>הכנסת</w:t>
      </w:r>
      <w:r w:rsidRPr="00F54FA3">
        <w:rPr>
          <w:rtl/>
        </w:rPr>
        <w:t xml:space="preserve"> </w:t>
      </w:r>
      <w:r w:rsidRPr="00F54FA3">
        <w:rPr>
          <w:rFonts w:hint="eastAsia"/>
          <w:rtl/>
        </w:rPr>
        <w:t>אורי</w:t>
      </w:r>
      <w:r w:rsidRPr="00F54FA3">
        <w:rPr>
          <w:rtl/>
        </w:rPr>
        <w:t xml:space="preserve"> </w:t>
      </w:r>
      <w:r w:rsidRPr="00F54FA3">
        <w:rPr>
          <w:rFonts w:hint="eastAsia"/>
          <w:rtl/>
        </w:rPr>
        <w:t>מקלב</w:t>
      </w:r>
      <w:r w:rsidRPr="00F54FA3">
        <w:rPr>
          <w:rtl/>
        </w:rPr>
        <w:t xml:space="preserve"> </w:t>
      </w:r>
      <w:r w:rsidRPr="00F54FA3">
        <w:rPr>
          <w:rFonts w:hint="eastAsia"/>
          <w:rtl/>
        </w:rPr>
        <w:t>וקבוצת</w:t>
      </w:r>
      <w:r w:rsidRPr="00F54FA3">
        <w:rPr>
          <w:rtl/>
        </w:rPr>
        <w:t xml:space="preserve"> </w:t>
      </w:r>
      <w:r w:rsidRPr="00F54FA3">
        <w:rPr>
          <w:rFonts w:hint="eastAsia"/>
          <w:rtl/>
        </w:rPr>
        <w:t>חברי</w:t>
      </w:r>
      <w:r w:rsidRPr="00F54FA3">
        <w:rPr>
          <w:rtl/>
        </w:rPr>
        <w:t xml:space="preserve"> </w:t>
      </w:r>
      <w:r w:rsidRPr="00F54FA3">
        <w:rPr>
          <w:rFonts w:hint="eastAsia"/>
          <w:rtl/>
        </w:rPr>
        <w:t>הכנסת</w:t>
      </w:r>
      <w:r>
        <w:rPr>
          <w:rtl/>
        </w:rPr>
        <w:t xml:space="preserve"> (פ/3799/20)</w:t>
      </w:r>
      <w:r w:rsidR="00897615">
        <w:rPr>
          <w:rFonts w:hint="cs"/>
          <w:rtl/>
        </w:rPr>
        <w:t>,</w:t>
      </w:r>
      <w:r>
        <w:rPr>
          <w:rFonts w:hint="cs"/>
          <w:rtl/>
        </w:rPr>
        <w:t xml:space="preserve"> </w:t>
      </w:r>
      <w:r>
        <w:rPr>
          <w:rtl/>
        </w:rPr>
        <w:t>על שולחן הכנסת העשרים ושתיים על ידי חבר הכנסת אורי מקלב וקבוצת חברי הכנסת (פ/896/22)</w:t>
      </w:r>
      <w:r>
        <w:rPr>
          <w:rFonts w:hint="cs"/>
          <w:rtl/>
        </w:rPr>
        <w:t xml:space="preserve"> </w:t>
      </w:r>
      <w:r w:rsidR="00897615">
        <w:rPr>
          <w:rFonts w:hint="cs"/>
          <w:rtl/>
        </w:rPr>
        <w:t>ו</w:t>
      </w:r>
      <w:r>
        <w:rPr>
          <w:rFonts w:hint="cs"/>
          <w:rtl/>
        </w:rPr>
        <w:t>על ידי חברת הכנסת אורלי לוי אבקסיס (פ/1242/22)</w:t>
      </w:r>
      <w:r w:rsidR="00897615">
        <w:rPr>
          <w:rFonts w:hint="cs"/>
          <w:rtl/>
        </w:rPr>
        <w:t xml:space="preserve"> ועל שולחן הכנסת העשרים ושלוש </w:t>
      </w:r>
      <w:r>
        <w:rPr>
          <w:rFonts w:hint="cs"/>
          <w:rtl/>
        </w:rPr>
        <w:t>על ידי חברי הכנסת משה גפני ויעקב אשר (פ/1306/23).</w:t>
      </w:r>
    </w:p>
    <w:p w14:paraId="478E733F" w14:textId="6719C875" w:rsidR="000C7743" w:rsidRDefault="000C7743" w:rsidP="00964D92">
      <w:pPr>
        <w:pStyle w:val="Hesber"/>
        <w:rPr>
          <w:rtl/>
        </w:rPr>
      </w:pPr>
      <w:r>
        <w:rPr>
          <w:rFonts w:hint="cs"/>
          <w:rtl/>
        </w:rPr>
        <w:t>הצעת החוק זהה לפ/1306/23 ולפיכך לא נבדקה מחדש על ידי הלשכה המשפטית של הכנסת.</w:t>
      </w:r>
    </w:p>
    <w:p w14:paraId="42B4C58D" w14:textId="77777777" w:rsidR="00E76E1B" w:rsidRDefault="00455335">
      <w:pPr>
        <w:spacing w:before="0" w:line="276" w:lineRule="auto"/>
        <w:jc w:val="left"/>
      </w:pPr>
      <w:bookmarkStart w:id="8" w:name="selectedDocDateB"/>
      <w:bookmarkEnd w:id="8"/>
      <w:r>
        <w:rPr>
          <w:rFonts w:ascii="David" w:eastAsia="David" w:hAnsi="David" w:cs="David" w:hint="cs"/>
          <w:sz w:val="26"/>
          <w:szCs w:val="26"/>
          <w:rtl/>
        </w:rPr>
        <w:t>--------------------------------</w:t>
      </w:r>
    </w:p>
    <w:p w14:paraId="2C0B96B4" w14:textId="77777777" w:rsidR="00E76E1B" w:rsidRDefault="00455335">
      <w:pPr>
        <w:spacing w:before="0" w:line="360" w:lineRule="auto"/>
        <w:jc w:val="left"/>
      </w:pPr>
      <w:r>
        <w:rPr>
          <w:rFonts w:ascii="David" w:eastAsia="David" w:hAnsi="David" w:cs="David" w:hint="cs"/>
          <w:sz w:val="26"/>
          <w:szCs w:val="26"/>
          <w:rtl/>
        </w:rPr>
        <w:t>הוגשה ליו"ר הכנסת והסגנים</w:t>
      </w:r>
    </w:p>
    <w:p w14:paraId="53A1411F" w14:textId="77777777" w:rsidR="00E76E1B" w:rsidRDefault="00455335">
      <w:pPr>
        <w:spacing w:before="0" w:line="360" w:lineRule="auto"/>
        <w:jc w:val="left"/>
      </w:pPr>
      <w:r>
        <w:rPr>
          <w:rFonts w:ascii="David" w:eastAsia="David" w:hAnsi="David" w:cs="David" w:hint="cs"/>
          <w:sz w:val="26"/>
          <w:szCs w:val="26"/>
          <w:rtl/>
        </w:rPr>
        <w:t>והונחה על שולחן הכנסת ביום</w:t>
      </w:r>
    </w:p>
    <w:p w14:paraId="3D57F4B5" w14:textId="35D8004D" w:rsidR="00E76E1B" w:rsidRDefault="00455335" w:rsidP="00455335">
      <w:pPr>
        <w:spacing w:before="0" w:line="360" w:lineRule="auto"/>
        <w:jc w:val="left"/>
      </w:pPr>
      <w:r>
        <w:rPr>
          <w:rFonts w:ascii="David" w:eastAsia="David" w:hAnsi="David" w:cs="David" w:hint="cs"/>
          <w:sz w:val="26"/>
          <w:szCs w:val="26"/>
          <w:rtl/>
        </w:rPr>
        <w:t xml:space="preserve">ד' באדר ב' התשפ"ב (07.03.2022) </w:t>
      </w:r>
      <w:bookmarkStart w:id="9" w:name="_GoBack"/>
      <w:bookmarkEnd w:id="9"/>
    </w:p>
    <w:sectPr w:rsidR="00E76E1B"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03F5B3F9"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455335">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77E83418" w14:textId="77777777" w:rsidR="00964D92" w:rsidRDefault="00964D92" w:rsidP="00964D92">
      <w:pPr>
        <w:pStyle w:val="a4"/>
        <w:rPr>
          <w:rtl/>
        </w:rPr>
      </w:pPr>
      <w:r>
        <w:rPr>
          <w:rStyle w:val="a6"/>
        </w:rPr>
        <w:footnoteRef/>
      </w:r>
      <w:r>
        <w:rPr>
          <w:rtl/>
        </w:rPr>
        <w:t xml:space="preserve"> </w:t>
      </w:r>
      <w:r>
        <w:rPr>
          <w:rFonts w:hint="cs"/>
          <w:rtl/>
        </w:rPr>
        <w:t>ס"ח התשי"ד, עמ' 154.</w:t>
      </w:r>
    </w:p>
  </w:footnote>
  <w:footnote w:id="3">
    <w:p w14:paraId="22236266" w14:textId="77777777" w:rsidR="00964D92" w:rsidRDefault="00964D92" w:rsidP="00964D92">
      <w:pPr>
        <w:pStyle w:val="a4"/>
      </w:pPr>
      <w:r>
        <w:rPr>
          <w:rStyle w:val="a6"/>
        </w:rPr>
        <w:footnoteRef/>
      </w:r>
      <w:r>
        <w:rPr>
          <w:rtl/>
        </w:rPr>
        <w:t xml:space="preserve"> </w:t>
      </w:r>
      <w:r>
        <w:rPr>
          <w:rFonts w:hint="cs"/>
          <w:rtl/>
        </w:rPr>
        <w:t>ס"ח התשנ"ה, עמ' 210.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0C7743"/>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55335"/>
    <w:rsid w:val="004A06DC"/>
    <w:rsid w:val="004B24ED"/>
    <w:rsid w:val="004B6625"/>
    <w:rsid w:val="004D2D82"/>
    <w:rsid w:val="004D3876"/>
    <w:rsid w:val="004E4552"/>
    <w:rsid w:val="004E6CDF"/>
    <w:rsid w:val="00502575"/>
    <w:rsid w:val="00553C9D"/>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53616"/>
    <w:rsid w:val="00865572"/>
    <w:rsid w:val="00874BBC"/>
    <w:rsid w:val="00892135"/>
    <w:rsid w:val="00895449"/>
    <w:rsid w:val="00897615"/>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4D92"/>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76E1B"/>
    <w:rsid w:val="00EA01E6"/>
    <w:rsid w:val="00EA3DE8"/>
    <w:rsid w:val="00EA758F"/>
    <w:rsid w:val="00ED4A6F"/>
    <w:rsid w:val="00EF3A3A"/>
    <w:rsid w:val="00F628D6"/>
    <w:rsid w:val="00F67051"/>
    <w:rsid w:val="00F86A1E"/>
    <w:rsid w:val="00FA5E88"/>
    <w:rsid w:val="00FD661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DDCAA45D-C008-4649-B631-269F14F53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aliases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rsid w:val="00964D92"/>
    <w:rPr>
      <w:rFonts w:ascii="Arial" w:eastAsia="Arial Unicode MS" w:hAnsi="Arial" w:cs="David"/>
      <w:snapToGrid w:val="0"/>
      <w:color w:val="000000"/>
      <w:sz w:val="14"/>
      <w:lang w:eastAsia="ja-JP"/>
    </w:rPr>
  </w:style>
  <w:style w:type="character" w:styleId="ae">
    <w:name w:val="annotation reference"/>
    <w:basedOn w:val="a0"/>
    <w:semiHidden/>
    <w:unhideWhenUsed/>
    <w:rsid w:val="00FD661E"/>
    <w:rPr>
      <w:sz w:val="16"/>
      <w:szCs w:val="16"/>
    </w:rPr>
  </w:style>
  <w:style w:type="paragraph" w:styleId="af">
    <w:name w:val="annotation text"/>
    <w:basedOn w:val="a"/>
    <w:link w:val="af0"/>
    <w:semiHidden/>
    <w:unhideWhenUsed/>
    <w:rsid w:val="00FD661E"/>
    <w:pPr>
      <w:spacing w:line="240" w:lineRule="auto"/>
    </w:pPr>
    <w:rPr>
      <w:sz w:val="20"/>
      <w:szCs w:val="20"/>
    </w:rPr>
  </w:style>
  <w:style w:type="character" w:customStyle="1" w:styleId="af0">
    <w:name w:val="טקסט הערה תו"/>
    <w:basedOn w:val="a0"/>
    <w:link w:val="af"/>
    <w:semiHidden/>
    <w:rsid w:val="00FD661E"/>
    <w:rPr>
      <w:rFonts w:ascii="Hadasa Roso SL" w:hAnsi="Hadasa Roso SL" w:cs="Hadasa Roso SL"/>
      <w:color w:val="000000"/>
      <w:spacing w:val="1"/>
      <w:lang w:eastAsia="ja-JP"/>
    </w:rPr>
  </w:style>
  <w:style w:type="paragraph" w:styleId="af1">
    <w:name w:val="annotation subject"/>
    <w:basedOn w:val="af"/>
    <w:next w:val="af"/>
    <w:link w:val="af2"/>
    <w:semiHidden/>
    <w:unhideWhenUsed/>
    <w:rsid w:val="00FD661E"/>
    <w:rPr>
      <w:b/>
      <w:bCs/>
    </w:rPr>
  </w:style>
  <w:style w:type="character" w:customStyle="1" w:styleId="af2">
    <w:name w:val="נושא הערה תו"/>
    <w:basedOn w:val="af0"/>
    <w:link w:val="af1"/>
    <w:semiHidden/>
    <w:rsid w:val="00FD661E"/>
    <w:rPr>
      <w:rFonts w:ascii="Hadasa Roso SL" w:hAnsi="Hadasa Roso SL" w:cs="Hadasa Roso SL"/>
      <w:b/>
      <w:bCs/>
      <w:color w:val="000000"/>
      <w:spacing w:val="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ABE13442BF316646AF5951F2A6F4E844" ma:contentTypeVersion="" ma:contentTypeDescription="צור מסמך חדש." ma:contentTypeScope="" ma:versionID="3e09f08e861ef8c9ca8a66bc33319a22">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60267D45-34AE-4B60-8ADB-7A0FEB18F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F4AFE3-9455-419C-8851-785A55F44517}">
  <ds:schemaRefs>
    <ds:schemaRef ds:uri="290d5b49-c690-4c6f-bbb9-1e50dab33eee"/>
    <ds:schemaRef ds:uri="http://schemas.microsoft.com/office/2006/metadata/properties"/>
    <ds:schemaRef ds:uri="http://purl.org/dc/elements/1.1/"/>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http://purl.org/dc/dcmitype/"/>
    <ds:schemaRef ds:uri="http://purl.org/dc/terms/"/>
  </ds:schemaRefs>
</ds:datastoreItem>
</file>

<file path=customXml/itemProps4.xml><?xml version="1.0" encoding="utf-8"?>
<ds:datastoreItem xmlns:ds="http://schemas.openxmlformats.org/officeDocument/2006/customXml" ds:itemID="{51908024-FD23-4830-B157-63E13B343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583</Words>
  <Characters>2918</Characters>
  <Application>Microsoft Office Word</Application>
  <DocSecurity>0</DocSecurity>
  <Lines>24</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3495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דפנה ברנאי</cp:lastModifiedBy>
  <cp:revision>9</cp:revision>
  <cp:lastPrinted>2022-03-02T16:11:00Z</cp:lastPrinted>
  <dcterms:created xsi:type="dcterms:W3CDTF">2015-04-20T09:58:00Z</dcterms:created>
  <dcterms:modified xsi:type="dcterms:W3CDTF">2022-03-02T16:12:00Z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0x010100ABE13442BF316646AF5951F2A6F4E844</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2190334</vt:r8>
  </property>
</Properties>
</file>